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25.09.2024 (konsolidierte Textfassung, kein amtliches Inkrafttretensdatum)</w:t>
      </w:r>
    </w:p>
    <w:p>
      <w:r>
        <w:t xml:space="preserve">(1) Der Zuschuss des Bundes beträgt für das Kalenderjahr 20 vom Hundert der Ausgaben der Künstlersozialkasse. Überzahlungen sind mit dem Bundeszuschuss des übernächsten Jahres zu verrechnen.</w:t>
      </w:r>
    </w:p>
    <w:p>
      <w:r>
        <w:t xml:space="preserve">(2) Der Bund trägt die Verwaltungskosten der Künstlersozialkasse.</w:t>
      </w:r>
    </w:p>
    <w:p>
      <w:r>
        <w:t xml:space="preserve">(3) Die Leistungen des Bundes nach den Absätzen 1 und 2 dürfen nur entsprechend dem jeweiligen Ausgabebedarf in Anspruch genommen werden.</w:t>
      </w:r>
    </w:p>
    <w:p>
      <w:r>
        <w:rPr>
          <w:color w:val="555555"/>
          <w:sz w:val="17"/>
        </w:rPr>
        <w:t xml:space="preserve">Zitiervorschlag: § 34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