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Künstlersozialkasse hat zu Unrecht entrichtete Künstlersozialabgabe zu erstatten.</w:t>
      </w:r>
    </w:p>
    <w:p>
      <w:r>
        <w:t xml:space="preserve">(2) Die Künstlersozialkasse kann mit Zustimmung des Berechtigten die zu Unrecht entrichtete Künstlersozialabgabe mit künftigen Ansprüchen auf Künstlersozialabgabe oder Vorauszahlungen verrechnen.</w:t>
      </w:r>
    </w:p>
    <w:p>
      <w:r>
        <w:t xml:space="preserve">(3) Für die Verzinsung und Verjährung des Anspruchs auf Erstattung gilt § 27 des Vierten Buches Sozialgesetzbuch entsprechend.</w:t>
      </w:r>
    </w:p>
    <w:p>
      <w:r>
        <w:rPr>
          <w:color w:val="555555"/>
          <w:sz w:val="17"/>
        </w:rPr>
        <w:t xml:space="preserve">Zitiervorschlag: § 33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