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19.01.2023 (konsolidierte Textfassung, kein amtliches Inkrafttretensdatum)</w:t>
      </w:r>
    </w:p>
    <w:p>
      <w:r>
        <w:t xml:space="preserve">(1) Für die Erhebung eines Säumniszuschlags auf rückständige Künstlersozialabgabe und Abgabevorauszahlungen gilt § 24 des Vierten Buches Sozialgesetzbuch entsprechend.</w:t>
      </w:r>
    </w:p>
    <w:p>
      <w:r>
        <w:t xml:space="preserve">(2) Säumniszuschläge auf rückständige Künstlersozialabgabe und Abgabevorauszahlungen sowie Zinsen, die bei einer Stundung der Künstlersozialabgabe oder von Abgabevorauszahlungen erhoben werden, gehören zum Vermögen der Künstlersozialkasse.</w:t>
      </w:r>
    </w:p>
    <w:p>
      <w:r>
        <w:rPr>
          <w:color w:val="555555"/>
          <w:sz w:val="17"/>
        </w:rPr>
        <w:t xml:space="preserve">Zitiervorschlag: § 30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