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KSVG</w:t>
      </w:r>
    </w:p>
    <w:p>
      <w:r>
        <w:rPr>
          <w:color w:val="555555"/>
          <w:sz w:val="18"/>
        </w:rPr>
        <w:t xml:space="preserve">Künstlersozialversicherungsgesetz</w:t>
      </w:r>
    </w:p>
    <w:p>
      <w:r>
        <w:rPr>
          <w:color w:val="555555"/>
          <w:sz w:val="18"/>
        </w:rPr>
        <w:t xml:space="preserve">Stand: 31.12.2025 (konsolidierte Textfassung, kein amtliches Inkrafttretensdatum)</w:t>
      </w:r>
    </w:p>
    <w:p>
      <w:r>
        <w:t xml:space="preserve">Die Künstlersozialkasse hat dem Versicherten und dem Zuschußberechtigten jährlich eine Abrechnung zu erteilen, aus der die Berechnung der von ihm und für ihn erbrachten Beitragsleistungen ersichtlich ist. Die Jahresabrechnung gilt als Mitteilung im Sinne des § 28a Absatz 5 des Vierten Buches Sozialgesetzbuch.</w:t>
      </w:r>
    </w:p>
    <w:p>
      <w:r>
        <w:rPr>
          <w:color w:val="555555"/>
          <w:sz w:val="17"/>
        </w:rPr>
        <w:t xml:space="preserve">Zitiervorschlag: § 20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