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Selbständige Künstler und Publizisten werden in der allgemeinen Rentenversicherung, in der gesetzlichen Krankenversicherung und in der sozialen Pflegeversicherung versichert, wenn sie</w:t>
      </w:r>
    </w:p>
    <w:p>
      <w:pPr>
        <w:ind w:left="420"/>
      </w:pPr>
      <w:r>
        <w:t xml:space="preserve">1. die künstlerische oder publizistische Tätigkeit erwerbsmäßig und nicht nur vorübergehend ausüben und</w:t>
      </w:r>
    </w:p>
    <w:p>
      <w:pPr>
        <w:ind w:left="420"/>
      </w:pPr>
      <w:r>
        <w:t xml:space="preserve">2. im Zusammenhang mit der künstlerischen oder publizistischen Tätigkeit nicht mehr als einen Arbeitnehmer beschäftigen, es sei denn, die Beschäftigung erfolgt zur Berufsausbildung oder ist geringfügig im Sinne des § 8 des Vierten Buches Sozialgesetzbuch.</w:t>
      </w:r>
    </w:p>
    <w:p>
      <w:r>
        <w:rPr>
          <w:color w:val="555555"/>
          <w:sz w:val="17"/>
        </w:rPr>
        <w:t xml:space="preserve">Zitiervorschlag: § 1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