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KSVEntgV</w:t>
      </w:r>
    </w:p>
    <w:p>
      <w:r>
        <w:rPr>
          <w:color w:val="555555"/>
          <w:sz w:val="18"/>
        </w:rPr>
        <w:t xml:space="preserve">Künstlersozialversicherungs-Entgeltverordnung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2 Satz 3 des Künstlersozialversicherungsgesetzes vom 27. Juli 1981 (BGBl. I S. 705), der durch Gesetz vom 20. Dezember 1988 (BGBl. I S. 2606) eingefügt worden ist, und unter Berücksichtigung von Anlage I Kapitel VIII Sachgebiet F Abschnitt III Nr. 5 Buchstabe b des Einigungsvertrages vom 31. August 1990 in Verbindung mit Artikel 1 des Gesetzes vom 23. September 1990 (BGBl. 1990 II S. 885, 1047) verordnet der Bundesminister für Arbeit und Sozialordnung:</w:t>
      </w:r>
    </w:p>
    <w:p>
      <w:r>
        <w:rPr>
          <w:color w:val="555555"/>
          <w:sz w:val="17"/>
        </w:rPr>
        <w:t xml:space="preserve">Zitiervorschlag: Eingangsformel KSVEntgV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https://recht.nulegal.eu/gesetze/KSVEntgV/eingangsformel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