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KSVEntgV</w:t>
      </w:r>
    </w:p>
    <w:p>
      <w:r>
        <w:rPr>
          <w:color w:val="555555"/>
          <w:sz w:val="18"/>
        </w:rPr>
        <w:t xml:space="preserve">Künstlersozialversicherungs-Entgeltverordnung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1991 in Kraft.</w:t>
      </w:r>
    </w:p>
    <w:p>
      <w:r>
        <w:rPr>
          <w:color w:val="555555"/>
          <w:sz w:val="17"/>
        </w:rPr>
        <w:t xml:space="preserve">Zitiervorschlag: § 2 KSVEntgV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https://recht.nulegal.eu/gesetze/KSVEntgV/2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