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KSVEntgV</w:t>
      </w:r>
    </w:p>
    <w:p>
      <w:r>
        <w:rPr>
          <w:color w:val="555555"/>
          <w:sz w:val="18"/>
        </w:rPr>
        <w:t xml:space="preserve">Künstlersozialversicherungs-Entgeltverordnung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Entgelt im Sinne des § 25 Abs. 2 Satz 1 des Gesetzes sind nicht zuzurechnen:</w:t>
      </w:r>
    </w:p>
    <w:p>
      <w:pPr>
        <w:ind w:left="420"/>
      </w:pPr>
      <w:r>
        <w:t xml:space="preserve">1. Aufwendungen für nachgewiesene Reisekosten des selbständigen Künstlers oder Publizisten, die der zur Abgabe Verpflichtete übernimmt, soweit sie die in § 3 Nr. 16 des Einkommensteuergesetzes genannten Grenzen nicht übersteigen,</w:t>
      </w:r>
    </w:p>
    <w:p>
      <w:pPr>
        <w:ind w:left="420"/>
      </w:pPr>
      <w:r>
        <w:t xml:space="preserve">2. übliche Aufwendungen für die Bewirtung des selbständigen Künstlers oder Publizisten.</w:t>
      </w:r>
    </w:p>
    <w:p>
      <w:r>
        <w:rPr>
          <w:color w:val="555555"/>
          <w:sz w:val="17"/>
        </w:rPr>
        <w:t xml:space="preserve">Zitiervorschlag: § 1 KSVEntgV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https://recht.nulegal.eu/gesetze/KSVEntgV/1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