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KSO (Bayern)</w:t>
      </w:r>
    </w:p>
    <w:p>
      <w:r>
        <w:rPr>
          <w:color w:val="555555"/>
          <w:sz w:val="18"/>
        </w:rPr>
        <w:t xml:space="preserve">Klinikschulordnung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23 Abs. 1, Art. 24 Nr. 9, Art. 25 Abs. 1, Art. 41 Abs. 1, Art. 44 Abs. 2 Satz 1, Art. 45 Abs. 2 Satz 4, Art. 46 Abs. 4 Satz 3, Art. 49 Abs. 1 Sätze 2 und 3, Art. 52 Abs. 2 Satz 2 und Abs. 4, Art. 53 Abs. 4 Satz 2 und Abs. 6, Art. 58 Abs. 1 Satz 3 und Abs. 6, Art. 62 Abs. 8 Satz 1, Art. 63 Abs. 4, Art. 65 Abs. 1 Satz 4, Art. 68, 84 Abs. 1 Satz 2, Art. 86 Abs. 10, Art. 89, 117, 122 Abs. 3, und Art. 128 Abs. 1 des Bayerischen Gesetzes über das Erziehungs- und Unterrichtswesen (BayEUG) in der Fassung der Bekanntmachung vom 7. Juli 1994 (GVBl S. 689, BayRS 2230-1-1-UK), zuletzt geändert durch Gesetz vom 24. Juli 1998 (GVBl S. 442),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KSO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