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KSO (Bayern) — Kliniken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Kliniken im Sinn dieser Bestimmungen sind</w:t>
      </w:r>
    </w:p>
    <w:p>
      <w:r>
        <w:t xml:space="preserve">1. Kliniken im Sinn von § 2 Nr. 1 des Krankenhausfinanzierungsgesetzes vom 10. April 1991 (BGBl I S. 886) in der jeweils geltenden Fassung,</w:t>
      </w:r>
    </w:p>
    <w:p>
      <w:r>
        <w:t xml:space="preserve">2. Sanatorien, (Kinder-)Heilstätten, Kurkliniken,</w:t>
      </w:r>
    </w:p>
    <w:p>
      <w:r>
        <w:t xml:space="preserve">3. ähnliche Einrichtungen, insbesondere der Kinder- und Jugendpsychiatrie und der Jugendhilfe mit vergleichbaren Aufgaben.</w:t>
      </w:r>
    </w:p>
    <w:p>
      <w:r>
        <w:t xml:space="preserve">Kindererholungsheime ohne ständige ärztliche Aufsicht oder nur mit Anfangs- und Schlussuntersuchungen sowie Notfallbetreuung sind keine Kliniken im Sinn dieser Bestimmung.</w:t>
      </w:r>
    </w:p>
    <w:p>
      <w:r>
        <w:rPr>
          <w:color w:val="555555"/>
          <w:sz w:val="17"/>
        </w:rPr>
        <w:t xml:space="preserve">Zitiervorschlag: § 3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