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18 KSO (Bayern) — Aufgaben der Lehrerkonferenz</w:t>
      </w:r>
    </w:p>
    <w:p>
      <w:r>
        <w:rPr>
          <w:color w:val="555555"/>
          <w:sz w:val="18"/>
        </w:rPr>
        <w:t xml:space="preserve">Klinikschulordnung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Die Lehrerkonferenz dient neben ihren sonstigen Aufgaben nach dem Bayerischen Gesetz über das Erziehungs- und Unterrichtswesen sowie den einschlägigen Schulordnungen dem Erfahrungsaustausch und der Fortbildung; sie berät über die Maßnahmen, die für die Erziehung und Unterrichtung der Schüler erforderlich sind, wobei medizinische und organisatorische Erfordernisse der Klinik berücksichtigt werden müssen.</w:t>
      </w:r>
    </w:p>
    <w:p>
      <w:r>
        <w:rPr>
          <w:color w:val="555555"/>
          <w:sz w:val="17"/>
        </w:rPr>
        <w:t xml:space="preserve">Zitiervorschlag: § 18 KSO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https://recht.nulegal.eu/gesetze/KSO/18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