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KSKSaV — Beschlußfassung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Beirat ist beschlußfähig, wenn die Mehrheit der Mitglieder anwesend ist.</w:t>
      </w:r>
    </w:p>
    <w:p>
      <w:r>
        <w:t xml:space="preserve">(2) Der Beirat faßt seine Beschlüsse mit der Mehrheit der abgegebenen Stimmen der anwesenden Mitglieder.</w:t>
      </w:r>
    </w:p>
    <w:p>
      <w:r>
        <w:rPr>
          <w:color w:val="555555"/>
          <w:sz w:val="17"/>
        </w:rPr>
        <w:t xml:space="preserve">Zitiervorschlag: § 8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