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KSKSaV — Rechte und Pflichten der Mitglieder</w:t>
      </w:r>
    </w:p>
    <w:p>
      <w:r>
        <w:rPr>
          <w:color w:val="555555"/>
          <w:sz w:val="18"/>
        </w:rPr>
        <w:t xml:space="preserve">Verordnung über den Beirat und die Ausschüsse bei der Künstlersozialkasse</w:t>
      </w:r>
    </w:p>
    <w:p>
      <w:r>
        <w:rPr>
          <w:color w:val="555555"/>
          <w:sz w:val="18"/>
        </w:rPr>
        <w:t xml:space="preserve">Stand: 15.08.2025 (konsolidierte Textfassung, kein amtliches Inkrafttretensdatum)</w:t>
      </w:r>
    </w:p>
    <w:p>
      <w:r>
        <w:t xml:space="preserve">Die Mitglieder des Beirats sind zu gewissenhafter und unparteiischer Erfüllung ihrer Aufgabe verpflichtet. Sie sind nicht an Weisungen gebunden. Stellvertreterinnen und Stellvertreter haben für die Zeit, in der sie ein Mitglied vertreten, dessen Rechte und Pflichten.</w:t>
      </w:r>
    </w:p>
    <w:p>
      <w:r>
        <w:rPr>
          <w:color w:val="555555"/>
          <w:sz w:val="17"/>
        </w:rPr>
        <w:t xml:space="preserve">Zitiervorschlag: § 3 KSKSaV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https://recht.nulegal.eu/gesetze/KSKSaV/3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