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KSKSaV — Zusammensetzung</w:t>
      </w:r>
    </w:p>
    <w:p>
      <w:r>
        <w:rPr>
          <w:color w:val="555555"/>
          <w:sz w:val="18"/>
        </w:rPr>
        <w:t xml:space="preserve">Verordnung über den Beirat und die Ausschüsse bei der Künstlersozialkasse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Beirat besteht aus höchstens je 12 Mitgliedern aus den Kreisen der Versicherten und der zur Künstlersozialabgabe Verpflichteten.</w:t>
      </w:r>
    </w:p>
    <w:p>
      <w:r>
        <w:t xml:space="preserve">(2) Auf jeden der Bereiche Wort, Musik, darstellende Kunst und bildende Kunst entfallen höchstens je drei Mitglieder aus den Kreisen der Versicherten und der zur Abgabe Verpflichteten.</w:t>
      </w:r>
    </w:p>
    <w:p>
      <w:r>
        <w:t xml:space="preserve">(3) Jedes Mitglied hat einen Stellvertreter.</w:t>
      </w:r>
    </w:p>
    <w:p>
      <w:r>
        <w:rPr>
          <w:color w:val="555555"/>
          <w:sz w:val="17"/>
        </w:rPr>
        <w:t xml:space="preserve">Zitiervorschlag: § 2 KSKSaV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https://recht.nulegal.eu/gesetze/KSKSaV/2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