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KSKSaV — Einberufung</w:t>
      </w:r>
    </w:p>
    <w:p>
      <w:r>
        <w:rPr>
          <w:color w:val="555555"/>
          <w:sz w:val="18"/>
        </w:rPr>
        <w:t xml:space="preserve">Verordnung über den Beirat und die Ausschüsse bei der Künstlersozialkasse</w:t>
      </w:r>
    </w:p>
    <w:p>
      <w:r>
        <w:rPr>
          <w:color w:val="555555"/>
          <w:sz w:val="18"/>
        </w:rPr>
        <w:t xml:space="preserve">Stand: 15.08.2025 (konsolidierte Textfassung, kein amtliches Inkrafttretensdatum)</w:t>
      </w:r>
    </w:p>
    <w:p>
      <w:r>
        <w:t xml:space="preserve">Zu den Sitzungen des Ausschusses lädt die oder der Vorsitzende in Textform ein.</w:t>
      </w:r>
    </w:p>
    <w:p>
      <w:r>
        <w:rPr>
          <w:color w:val="555555"/>
          <w:sz w:val="17"/>
        </w:rPr>
        <w:t xml:space="preserve">Zitiervorschlag: § 15 KSKSaV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https://recht.nulegal.eu/gesetze/KSKSaV/15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