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KSKSaV — Zuständigkeit</w:t>
      </w:r>
    </w:p>
    <w:p>
      <w:r>
        <w:rPr>
          <w:color w:val="555555"/>
          <w:sz w:val="18"/>
        </w:rPr>
        <w:t xml:space="preserve">Verordnung über den Beirat und die Ausschüsse bei der Künstlersozialkasse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Betrifft der Gegenstand des Widerspruchs nur einen Bereich, ist der Ausschuß des betroffenen Bereichs zuständig.</w:t>
      </w:r>
    </w:p>
    <w:p>
      <w:r>
        <w:t xml:space="preserve">(2) Betrifft der Gegenstand des Widerspruchs mehrere Bereiche, bestimmt sich die Zuständigkeit wie folgt:</w:t>
      </w:r>
    </w:p>
    <w:p>
      <w:pPr>
        <w:ind w:left="420"/>
      </w:pPr>
      <w:r>
        <w:t xml:space="preserve">1. Ist der Widerspruchsführer ein Versicherter, ist der Ausschuß des Bereichs zuständig, in dem der Versicherte das überwiegende Arbeitseinkommen erzielt.</w:t>
      </w:r>
    </w:p>
    <w:p>
      <w:pPr>
        <w:ind w:left="420"/>
      </w:pPr>
      <w:r>
        <w:t xml:space="preserve">2. Ist der Widerspruchsführer ein zur Abgabe Verpflichteter, ist der Ausschuß des Bereichs zuständig, auf den die überwiegende Entgeltsumme im Sinne des § 25 des Gesetzes entfällt.</w:t>
      </w:r>
    </w:p>
    <w:p>
      <w:r>
        <w:t xml:space="preserve">(3) Hält sich ein Ausschuß nicht für zuständig, bestimmt die Künstlersozialkasse den zuständigen Ausschuß.</w:t>
      </w:r>
    </w:p>
    <w:p>
      <w:r>
        <w:rPr>
          <w:color w:val="555555"/>
          <w:sz w:val="17"/>
        </w:rPr>
        <w:t xml:space="preserve">Zitiervorschlag: § 14 KSKSaV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https://recht.nulegal.eu/gesetze/KSKSaV/14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