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KSKSaV — Berufung der Stellvertreter</w:t>
      </w:r>
    </w:p>
    <w:p>
      <w:r>
        <w:rPr>
          <w:color w:val="555555"/>
          <w:sz w:val="18"/>
        </w:rPr>
        <w:t xml:space="preserve">Verordnung über den Beirat und die Ausschüsse bei der Künstlersozialkasse</w:t>
      </w:r>
    </w:p>
    <w:p>
      <w:r>
        <w:rPr>
          <w:color w:val="555555"/>
          <w:sz w:val="18"/>
        </w:rPr>
        <w:t xml:space="preserve">Stand: 15.08.2025 (konsolidierte Textfassung, kein amtliches Inkrafttretensdatum)</w:t>
      </w:r>
    </w:p>
    <w:p>
      <w:r>
        <w:t xml:space="preserve">Für jedes Mitglied eines Ausschusses ist mindestens ein Stellvertreter zu berufen. § 10 Abs. 2 gilt entsprechend.</w:t>
      </w:r>
    </w:p>
    <w:p>
      <w:r>
        <w:rPr>
          <w:color w:val="555555"/>
          <w:sz w:val="17"/>
        </w:rPr>
        <w:t xml:space="preserve">Zitiervorschlag: § 11 KSKSaV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https://recht.nulegal.eu/gesetze/KSKSaV/11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KSKSaV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