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KSKSaV — Berufung der Mitglieder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der Künstlersozialkasse wird für jeden der Bereiche Wort, Musik, darstellende Kunst und bildende Kunst ein Ausschuß nach § 39 Abs. 1 des Gesetzes (Widerspruchsausschuß) gebildet.</w:t>
      </w:r>
    </w:p>
    <w:p>
      <w:r>
        <w:t xml:space="preserve">(2) Die Mitglieder der Ausschüsse werden nach Maßgabe von § 39 Abs. 2 des Gesetzes aus den Reihen der Beiratsmitglieder des jeweiligen Bereichs berufen.</w:t>
      </w:r>
    </w:p>
    <w:p>
      <w:r>
        <w:rPr>
          <w:color w:val="555555"/>
          <w:sz w:val="17"/>
        </w:rPr>
        <w:t xml:space="preserve">Zitiervorschlag: § 10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