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KSG — Bußgeldvorschriften</w:t>
      </w:r>
    </w:p>
    <w:p>
      <w:r>
        <w:rPr>
          <w:color w:val="555555"/>
          <w:sz w:val="18"/>
        </w:rPr>
        <w:t xml:space="preserve">Bundes-Klimaschutzgesetz</w:t>
      </w:r>
    </w:p>
    <w:p>
      <w:r>
        <w:rPr>
          <w:color w:val="555555"/>
          <w:sz w:val="18"/>
        </w:rPr>
        <w:t xml:space="preserve">Stand: 17.07.2024 (konsolidierte Textfassung, kein amtliches Inkrafttretensdatum)</w:t>
      </w:r>
    </w:p>
    <w:p>
      <w:r>
        <w:t xml:space="preserve">(1) Ordnungswidrig handelt, wer vorsätzlich oder fahrlässig einer Rechtsverordnung nach § 5 Absatz 7 Nummer 1 bis 4 oder einer vollziehbaren Anordnung aufgrund einer solchen Rechtsverordnung zuwiderhandelt, soweit die Rechtsverordnung für einen bestimmten Tatbestand auf diese Bußgeldvorschrift verweist.</w:t>
      </w:r>
    </w:p>
    <w:p>
      <w:r>
        <w:t xml:space="preserve">(2)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§ 6 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