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5a KSG — Projektionsdaten</w:t>
      </w:r>
    </w:p>
    <w:p>
      <w:r>
        <w:rPr>
          <w:color w:val="555555"/>
          <w:sz w:val="18"/>
        </w:rPr>
        <w:t xml:space="preserve">Bundes-Klimaschutzgesetz</w:t>
      </w:r>
    </w:p>
    <w:p>
      <w:r>
        <w:rPr>
          <w:color w:val="555555"/>
          <w:sz w:val="18"/>
        </w:rPr>
        <w:t xml:space="preserve">Stand: 17.07.2024 (konsolidierte Textfassung, kein amtliches Inkrafttretensdatum)</w:t>
      </w:r>
    </w:p>
    <w:p>
      <w:r>
        <w:t xml:space="preserve">Das Umweltbundesamt erstellt jährlich auf Grundlage aktuell verfügbarer Emissionsdaten und entsprechend der Vorgaben der Europäischen Governance-Verordnung Projektionsdaten über die künftige Emissionsentwicklung insgesamt und in den Sektoren nach § 5 Absatz 1 für sämtliche nachfolgenden Jahre bis einschließlich zum Jahr 2030 sowie zumindest für die Jahre 2035, 2040 und 2045; ab dem Jahr 2029 erstellt das Umweltbundesamt die Projektionsdaten für sämtliche nachfolgenden Jahre bis einschließlich zum Jahr 2040 sowie zumindest für das Jahr 2045. Hierzu beauftragt das Umweltbundesamt ein Forschungskonsortium. Über die Zusammensetzung, Leistungsbeschreibung und weiteren Vergabebedingungen wird im Einklang mit dem Vergaberecht mit dem Bundeskanzleramt, dem Bundesministerium der Finanzen, dem Bundesministerium für Wirtschaft und Klimaschutz, dem Bundesministerium für Wohnen, Stadtentwicklung und Bauwesen, dem Bundesministerium für Digitales und Verkehr, dem Bundesministerium für Umwelt, Naturschutz, nukleare Sicherheit und Verbraucherschutz sowie dem Bundesministerium für Ernährung und Landwirtschaft Einvernehmen hergestellt. In der Darstellung werden zudem die der Europäischen Klimaschutzverordnung unterliegenden Emissionsanteile der Sektoren separat ausgewiesen. Das Umweltbundesamt übersendet die Projektionsdaten bis zum Ablauf des 15. März eines jeden Jahres zeitgleich mit der Veröffentlichung der Emissionsdaten nach § 5 an den Expertenrat für Klimafragen und leitet sie dem Deutschen Bundestag zu. Die Verpflichtung zur Übermittlung von Projektionen an die Europäische Kommission gemäß Artikel 18 der Europäischen Governance-Verordnung bleibt unberührt.</w:t>
      </w:r>
    </w:p>
    <w:p>
      <w:r>
        <w:rPr>
          <w:color w:val="555555"/>
          <w:sz w:val="17"/>
        </w:rPr>
        <w:t xml:space="preserve">Zitiervorschlag: § 5a KSG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https://recht.nulegal.eu/gesetze/KSG/5a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