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KSG — Nationale Klimaschutzziele</w:t>
      </w:r>
    </w:p>
    <w:p>
      <w:r>
        <w:rPr>
          <w:color w:val="555555"/>
          <w:sz w:val="18"/>
        </w:rPr>
        <w:t xml:space="preserve">Bundes-Klimaschutzgesetz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(1) Die Treibhausgasemissionen werden im Vergleich zum Jahr 1990 schrittweise wie folgt gemindert:</w:t>
      </w:r>
    </w:p>
    <w:p>
      <w:pPr>
        <w:ind w:left="420"/>
      </w:pPr>
      <w:r>
        <w:t xml:space="preserve">1. bis zum Jahr 2030 um mindestens 65 Prozent,</w:t>
      </w:r>
    </w:p>
    <w:p>
      <w:pPr>
        <w:ind w:left="420"/>
      </w:pPr>
      <w:r>
        <w:t xml:space="preserve">2. bis zum Jahr 2040 um mindestens 88 Prozent.</w:t>
      </w:r>
    </w:p>
    <w:p>
      <w:r>
        <w:t xml:space="preserve">(2) Bis zum Jahr 2045 werden die Treibhausgasemissionen so weit gemindert, dass Netto-Treibhausgasneutralität erreicht wird. Nach dem Jahr 2050 sollen negative Treibhausgasemissionen erreicht werden.</w:t>
      </w:r>
    </w:p>
    <w:p>
      <w:r>
        <w:t xml:space="preserve">(3) Die Möglichkeit, die nationalen Klimaschutzziele teilweise im Rahmen von staatenübergreifenden Mechanismen zur Minderung von Treibhausgasemissionen zu erreichen, bleibt unberührt.</w:t>
      </w:r>
    </w:p>
    <w:p>
      <w:r>
        <w:t xml:space="preserve">(4) Sollten zur Erfüllung europäischer oder internationaler Klimaschutzziele höhere nationale Klimaschutzziele erforderlich werden, so leitet die Bundesregierung die zur Erhöhung der Zielwerte nach Absatz 1 notwendigen Schritte ein. Klimaschutzziele können erhöht, aber nicht abgesenkt werden.</w:t>
      </w:r>
    </w:p>
    <w:p>
      <w:r>
        <w:rPr>
          <w:color w:val="555555"/>
          <w:sz w:val="17"/>
        </w:rPr>
        <w:t xml:space="preserve">Zitiervorschlag: § 3 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