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KSG — Übergangsvorschriften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(1) Die bestehenden Sofortprogramme nach § 8 in der Fassung des Gesetzes vom 18. August 2021 gelten fort.</w:t>
      </w:r>
    </w:p>
    <w:p>
      <w:r>
        <w:t xml:space="preserve">(2) Die im Jahr 2024 erstellten Projektionen gelten als Projektionsdaten nach § 5a. Der Expertenrat für Klimafragen prüft im Rahmen eines Sondergutachtens diese Projektionsdaten schnellstmöglich nach § 12 Absatz 1 und trifft eine Feststellung nach § 12 Absatz 1 Satz 4.</w:t>
      </w:r>
    </w:p>
    <w:p>
      <w:r>
        <w:rPr>
          <w:color w:val="555555"/>
          <w:sz w:val="17"/>
        </w:rPr>
        <w:t xml:space="preserve">Zitiervorschlag: § 16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