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KSG — Bund-Länder-Zusammenarbeit</w:t>
      </w:r>
    </w:p>
    <w:p>
      <w:r>
        <w:rPr>
          <w:color w:val="555555"/>
          <w:sz w:val="18"/>
        </w:rPr>
        <w:t xml:space="preserve">Bundes-Klimaschutzgesetz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Unbeschadet der Vereinbarkeit mit Bundesrecht können die Länder eigene Klimaschutzgesetze erlassen. Die bestehenden Klimaschutzgesetze der Länder gelten unbeschadet der Vereinbarkeit mit Bundesrecht fort.</w:t>
      </w:r>
    </w:p>
    <w:p>
      <w:r>
        <w:t xml:space="preserve">(2) Der Bund und die Länder arbeiten in geeigneter Form zusammen, um die Ziele dieses Gesetzes zu erreichen.</w:t>
      </w:r>
    </w:p>
    <w:p>
      <w:r>
        <w:rPr>
          <w:color w:val="555555"/>
          <w:sz w:val="17"/>
        </w:rPr>
        <w:t xml:space="preserve">Zitiervorschlag: § 14 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