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KSEVtrAG</w:t>
      </w:r>
    </w:p>
    <w:p>
      <w:r>
        <w:rPr>
          <w:color w:val="555555"/>
          <w:sz w:val="18"/>
        </w:rPr>
        <w:t xml:space="preserve">Ausführungsgesetz zum KSE-Vertrag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Inspektionen nach Abschnitt VIII des Inspektionsprotokolls des KSE-Vertrags finden nur in Anwesenheit der Begleitgruppe statt, die vom "Zentrum für Verifikationsaufgaben der Bundeswehr" gestellt wird. Der Leiter der Begleitgruppe hat sich auszuweisen.</w:t>
      </w:r>
    </w:p>
    <w:p>
      <w:r>
        <w:t xml:space="preserve">(2) Bei der Durchführung der Inspektion trifft der Leiter der Begleitgruppe dem Verpflichteten gegenüber die zur Durchführung der Inspektion erforderlichen Anordnungen. Widerspruch und Klage gegen die Anordnungen haben keine aufschiebende Wirkung.</w:t>
      </w:r>
    </w:p>
    <w:p>
      <w:r>
        <w:rPr>
          <w:color w:val="555555"/>
          <w:sz w:val="17"/>
        </w:rPr>
        <w:t xml:space="preserve">Zitiervorschlag: § 2 KSEVtrAG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https://recht.nulegal.eu/gesetze/KSEVtrAG/2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