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KSAbg2026V</w:t>
      </w:r>
    </w:p>
    <w:p>
      <w:r>
        <w:rPr>
          <w:color w:val="555555"/>
          <w:sz w:val="18"/>
        </w:rPr>
        <w:t xml:space="preserve">Künstlersozialabgabe-Verordnung 2026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Das Bundesministerium für Arbeit und Soziales verordnet aufgrund des § 26 Absatz 5 in Verbindung mit Absatz 1 des Künstlersozialversicherungsgesetzes vom 27. Juli 1981 (BGBl. I S. 705), das zuletzt durch Artikel 56 des Gesetzes vom 23. Oktober 2024 (BGBl. 2024 I Nr. 323) geändert worden ist,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KSAbg2026V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https://recht.nulegal.eu/gesetze/KSAbg2026V/eingangsformel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