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KSAbg2026V — Außerkrafttreten</w:t>
      </w:r>
    </w:p>
    <w:p>
      <w:r>
        <w:rPr>
          <w:color w:val="555555"/>
          <w:sz w:val="18"/>
        </w:rPr>
        <w:t xml:space="preserve">Künstlersozialabgabe-Verordnung 2026</w:t>
      </w:r>
    </w:p>
    <w:p>
      <w:r>
        <w:rPr>
          <w:color w:val="555555"/>
          <w:sz w:val="18"/>
        </w:rPr>
        <w:t xml:space="preserve">Stand: 01.01.2026 (konsolidierte Textfassung, kein amtliches Inkrafttretensdatum)</w:t>
      </w:r>
    </w:p>
    <w:p>
      <w:r>
        <w:t xml:space="preserve">Die Künstlersozialabgabe-Verordnung 2024 vom 4. September 2023 (BGBl. 2023 I Nr. 240) tritt mit Ablauf des 31. Dezembers 2025 außer Kraft.</w:t>
      </w:r>
    </w:p>
    <w:p>
      <w:r>
        <w:rPr>
          <w:color w:val="555555"/>
          <w:sz w:val="17"/>
        </w:rPr>
        <w:t xml:space="preserve">Zitiervorschlag: § 2 KSAbg2026V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https://recht.nulegal.eu/gesetze/KSAbg2026V/2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