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KSAbg2025V — Inkrafttreten, Außerkrafttreten</w:t>
      </w:r>
    </w:p>
    <w:p>
      <w:r>
        <w:rPr>
          <w:color w:val="555555"/>
          <w:sz w:val="18"/>
        </w:rPr>
        <w:t xml:space="preserve">Künstlersozialabgabe-Verordnung 2025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Verordnung tritt am 1. Januar 2025 in Kraft. Gleichzeitig tritt die Künstlersozialabgabe-Verordnung 2023 vom 20. September 2022 (BGBl. I S. 1508) außer Kraft.</w:t>
      </w:r>
    </w:p>
    <w:p>
      <w:r>
        <w:rPr>
          <w:color w:val="555555"/>
          <w:sz w:val="17"/>
        </w:rPr>
        <w:t xml:space="preserve">Zitiervorschlag: § 2 KSAbg2025V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https://recht.nulegal.eu/gesetze/KSAbg2025V/2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