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KSAbg2025V — Bestimmung des Prozentsatzes der Künstlersozialabgabe</w:t>
      </w:r>
    </w:p>
    <w:p>
      <w:r>
        <w:rPr>
          <w:color w:val="555555"/>
          <w:sz w:val="18"/>
        </w:rPr>
        <w:t xml:space="preserve">Künstlersozialabgabe-Verordnung 2025</w:t>
      </w:r>
    </w:p>
    <w:p>
      <w:r>
        <w:rPr>
          <w:color w:val="555555"/>
          <w:sz w:val="18"/>
        </w:rPr>
        <w:t xml:space="preserve">Stand: 01.01.2025 (konsolidierte Textfassung, kein amtliches Inkrafttretensdatum)</w:t>
      </w:r>
    </w:p>
    <w:p>
      <w:r>
        <w:t xml:space="preserve">Der Prozentsatz der Künstlersozialabgabe im Jahr 2025 beträgt 5,0 Prozent.</w:t>
      </w:r>
    </w:p>
    <w:p>
      <w:r>
        <w:rPr>
          <w:color w:val="555555"/>
          <w:sz w:val="17"/>
        </w:rPr>
        <w:t xml:space="preserve">Zitiervorschlag: § 1 KSAbg2025V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https://recht.nulegal.eu/gesetze/KSAbg2025V/1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