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KSAbg2023V — Bestimmung des Prozentsatzes der Künstlersozialabgabe</w:t>
      </w:r>
    </w:p>
    <w:p>
      <w:r>
        <w:rPr>
          <w:color w:val="555555"/>
          <w:sz w:val="18"/>
        </w:rPr>
        <w:t xml:space="preserve">Künstlersozialabgabe-Verordnung 2023</w:t>
      </w:r>
    </w:p>
    <w:p>
      <w:r>
        <w:rPr>
          <w:color w:val="555555"/>
          <w:sz w:val="18"/>
        </w:rPr>
        <w:t xml:space="preserve">Historische Fassung: Stand 01.01.2023 bis 01.01.2025. Dies ist nicht die aktuelle Fassung.</w:t>
      </w:r>
    </w:p>
    <w:p>
      <w:r>
        <w:t xml:space="preserve">Der Prozentsatz der Künstlersozialabgabe im Jahr 2023 beträgt 5,0 Prozent.</w:t>
      </w:r>
    </w:p>
    <w:p>
      <w:r>
        <w:rPr>
          <w:color w:val="555555"/>
          <w:sz w:val="17"/>
        </w:rPr>
        <w:t xml:space="preserve">Zitiervorschlag: § 1 KSAbg2023V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https://recht.nulegal.eu/gesetze/KSAbg2023V/1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