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KSAbg2022V — Inkrafttreten, Außerkrafttreten</w:t>
      </w:r>
    </w:p>
    <w:p>
      <w:r>
        <w:rPr>
          <w:color w:val="555555"/>
          <w:sz w:val="18"/>
        </w:rPr>
        <w:t xml:space="preserve">Künstlersozialabgabe-Verordnung 2022</w:t>
      </w:r>
    </w:p>
    <w:p>
      <w:r>
        <w:rPr>
          <w:color w:val="555555"/>
          <w:sz w:val="18"/>
        </w:rPr>
        <w:t xml:space="preserve">Historische Fassung: Stand 01.01.2022 bis 01.01.2024. Dies ist nicht die aktuelle Fassung.</w:t>
      </w:r>
    </w:p>
    <w:p>
      <w:r>
        <w:t xml:space="preserve">Diese Verordnung tritt am 1. Januar 2022 in Kraft. Gleichzeitig tritt die Künstlersozialabgabe-Verordnung 2020 vom 12. August 2019 (BGBl. I S. 1354) außer Kraft.</w:t>
      </w:r>
    </w:p>
    <w:p>
      <w:r>
        <w:rPr>
          <w:color w:val="555555"/>
          <w:sz w:val="17"/>
        </w:rPr>
        <w:t xml:space="preserve">Zitiervorschlag: § 2 KSAbg2022V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https://recht.nulegal.eu/gesetze/KSAbg2022V/2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