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KRITISDachG — Registrierung kritischer Anlagen; Geltungszeitpunkt</w:t>
      </w:r>
    </w:p>
    <w:p>
      <w:r>
        <w:rPr>
          <w:color w:val="555555"/>
          <w:sz w:val="18"/>
        </w:rPr>
        <w:t xml:space="preserve">KRITIS-Dachgesetz</w:t>
      </w:r>
    </w:p>
    <w:p>
      <w:r>
        <w:rPr>
          <w:color w:val="555555"/>
          <w:sz w:val="18"/>
        </w:rPr>
        <w:t xml:space="preserve">Stand: 29.07.2026 (konsolidierte Textfassung, kein amtliches Inkrafttretensdatum)</w:t>
      </w:r>
    </w:p>
    <w:p>
      <w:r>
        <w:t xml:space="preserve">(1) Ein Betreiber kritischer Anlagen ist verpflichtet, spätestens drei Monate, nachdem eine Anlage als kritische Anlage gilt, dem Bundesamt für Bevölkerungsschutz und Katastrophenhilfe über eine gemeinsam vom Bundesamt für Sicherheit in der Informationstechnik und dem Bundesamt für Bevölkerungsschutz und Katastrophenhilfe eingerichtete Registrierungsmöglichkeit folgende Angaben zu übermitteln:</w:t>
      </w:r>
    </w:p>
    <w:p>
      <w:pPr>
        <w:ind w:left="420"/>
      </w:pPr>
      <w:r>
        <w:t xml:space="preserve">1. den Namen des Betreibers kritischer Anlagen, einschließlich der Rechtsform und, falls einschlägig, die Handelsregisternummer,</w:t>
      </w:r>
    </w:p>
    <w:p>
      <w:pPr>
        <w:ind w:left="420"/>
      </w:pPr>
      <w:r>
        <w:t xml:space="preserve">2. die Anschrift und aktuelle Kontaktdaten des Betreibers kritischer Anlagen, einschließlich der E-Mail-Adresse und der Telefonnummer,</w:t>
      </w:r>
    </w:p>
    <w:p>
      <w:pPr>
        <w:ind w:left="420"/>
      </w:pPr>
      <w:r>
        <w:t xml:space="preserve">3. den Namen oder eine referenzierbare Bezeichnung der kritischen Anlage,</w:t>
      </w:r>
    </w:p>
    <w:p>
      <w:pPr>
        <w:ind w:left="420"/>
      </w:pPr>
      <w:r>
        <w:t xml:space="preserve">4. den Sektor und, falls einschlägig, die Branche, zu dem oder zu der die kritische Anlage gehört, sowie die kritische Dienstleistung, für deren Erbringung die Anlage erheblich ist,</w:t>
      </w:r>
    </w:p>
    <w:p>
      <w:pPr>
        <w:ind w:left="420"/>
      </w:pPr>
      <w:r>
        <w:t xml:space="preserve">5. soweit einschlägig, die Kategorie der kritischen Anlage und deren Werte zum Versorgungsgrad gemäß der Rechtsverordnung nach § 5 Absatz 1 Satz 1, den Standort der kritischen Anlagen und deren Versorgungsgebiet sowie deren öffentlichen IP-Adressbereiche,</w:t>
      </w:r>
    </w:p>
    <w:p>
      <w:pPr>
        <w:ind w:left="420"/>
      </w:pPr>
      <w:r>
        <w:t xml:space="preserve">6. falls einschlägig, eine Auflistung der Mitgliedstaaten der Europäischen Union, in denen oder für die der Betreiber kritischer Anlagen wesentliche Dienste im Sinne des Artikels 2 Nummer 5 der Richtlinie (EU) 2022/2557 in der Fassung vom 14. Dezember 2022 und des Artikels 2 der Delegierten Verordnung (EU) 2023/2450 in der Fassung vom 25. Juli 2023 erbringt, unter Angabe, welche wesentlichen Dienste er in welchen oder für welche Mitgliedstaaten erbringt,</w:t>
      </w:r>
    </w:p>
    <w:p>
      <w:pPr>
        <w:ind w:left="420"/>
      </w:pPr>
      <w:r>
        <w:t xml:space="preserve">7. eine Kontaktstelle, über die der Betreiber kritischer Anlagen erreichbar ist; in Bezug auf Maßnahmen nach dem BSI-Gesetz ist die jederzeitige Erreichbarkeit zu gewährleisten, sowie</w:t>
      </w:r>
    </w:p>
    <w:p>
      <w:pPr>
        <w:ind w:left="420"/>
      </w:pPr>
      <w:r>
        <w:t xml:space="preserve">8. die bei ihm zum Einsatz kommenden Typen von kritischen Komponenten gemäß § 2 Nummer 23 des BSI-Gesetzes.</w:t>
      </w:r>
    </w:p>
    <w:p>
      <w:r>
        <w:t xml:space="preserve">(2) Rechtfertigen Tatsachen die Annahme, dass ein Betreiber kritischer Anlagen seine Pflicht zur Registrierung nicht erfüllt, so kann das Bundesamt für Bevölkerungsschutz und Katastrophenhilfe von dem Betreiber verlangen, Aufzeichnungen, Schriftstücke und sonstige Unterlagen vorzulegen sowie Auskünfte zu erteilen, soweit dies erforderlich ist, um festzustellen, ob die Anlage kritisch ist. Können bestimmte Unterlagen oder Auskünfte aus Gründen des Geheimschutzes, der überwiegenden Sicherheitsinteressen oder des überwiegenden Schutzes von Betriebs- und Geschäftsgeheimnissen nicht vorgelegt oder erteilt werden, stellt der Betreiber die erforderlichen Informationen auf andere Weise zu Verfügung.</w:t>
      </w:r>
    </w:p>
    <w:p>
      <w:r>
        <w:t xml:space="preserve">(3) Wenn der Betreiber kritischer Anlagen seine Pflicht zur Registrierung nicht erfüllt, kann das Bundesamt für Bevölkerungsschutz und Katastrophenhilfe nach Anhörung des Betreibers die Registrierung selbst vornehmen. Die Vornahme der Registrierung bedarf des Einvernehmens des Bundesamts für Sicherheit in der Informationstechnik und, falls die zuständige Behörde eine Behörde des Bundes ist, ihres Einvernehmens und, falls die zuständige Behörde eine Behörde des Landes ist, ihres Benehmens.</w:t>
      </w:r>
    </w:p>
    <w:p>
      <w:r>
        <w:t xml:space="preserve">(4) Das Bundesamt für Sicherheit in der Informationstechnik und die zuständigen Behörden können dem Bundesamt für Bevölkerungsschutz und Katastrophenhilfe Vorschläge für die Registrierung weiterer Betreiber kritischer Anlagen unterbreiten und übermitteln dem Bundesamt für Bevölkerungsschutz und Katastrophenhilfe die erforderlichen Informationen zur Identifizierung der Betreiber kritischer Anlagen.</w:t>
      </w:r>
    </w:p>
    <w:p>
      <w:r>
        <w:t xml:space="preserve">(5) Dem Betreiber kritischer Anlagen werden der Abschluss des Registrierungsprozesses und die zuständige Behörde durch das Bundesamt für Bevölkerungsschutz und Katastrophenhilfe schriftlich oder elektronisch mitgeteilt. Die Mitteilung soll innerhalb von vier Wochen übermittelt werden. Das Bundesamt für Bevölkerungsschutz und Katastrophenhilfe übermittelt dem Bundesamt für Sicherheit in der Informationstechnik und der jeweils zuständigen Behörde unverzüglich nach Abschluss der Registrierung alle Registrierungsdaten. Die Übermittlung der in Absatz 1 Nummer 8 genannten Information erfolgt ausschließlich an das Bundesamt für Sicherheit in der Informationstechnik.</w:t>
      </w:r>
    </w:p>
    <w:p>
      <w:r>
        <w:t xml:space="preserve">(6) Bei Änderungen der nach Absatz 1 zu übermittelnden Angaben sind über die in Absatz 1 genannte Registrierungsmöglichkeit geänderte Werte zum Versorgungsgrad einmal jährlich zu übermitteln und alle anderen Angaben unverzüglich, spätestens jedoch zwei Wochen ab dem Zeitpunkt, zu dem der Betreiber kritischer Anlagen von der Änderung Kenntnis erhalten hat, zu übermitteln. Das Bundesamt für Bevölkerungsschutz und Katastrophenhilfe informiert das Bundesamt für Sicherheit in der Informationstechnik sowie die zuständige Behörde unverzüglich über alle übermittelten Änderungen.</w:t>
      </w:r>
    </w:p>
    <w:p>
      <w:r>
        <w:t xml:space="preserve">(7) Die Verpflichtungen nach § 12 gelten für den Betreiber einer kritischen Anlage erstmals neun Monate, die Verpflichtungen nach den §§ 13, 18 und 20 erstmals zehn Monate nach deren Registrierung.</w:t>
      </w:r>
    </w:p>
    <w:p>
      <w:r>
        <w:t xml:space="preserve">(8) Das Bundesamt für Bevölkerungsschutz und Katastrophenhilfe legt die Einzelheiten zur Ausgestaltung des Registrierungsverfahrens im Einvernehmen mit dem Bundesamt für Sicherheit in der Informationstechnik innerhalb von vier Wochen nach Inkrafttreten der Rechtsverordnung nach § 4 Absatz 3 und § 5 Absatz 1 fest. Die Festlegung nach Satz 1 erfolgt durch eine öffentliche Mitteilung auf der Internetseite des Bundesamts für Bevölkerungsschutz und Katastrophenhilfe.</w:t>
      </w:r>
    </w:p>
    <w:p>
      <w:r>
        <w:rPr>
          <w:color w:val="555555"/>
          <w:sz w:val="17"/>
        </w:rPr>
        <w:t xml:space="preserve">Zitiervorschlag: § 8 KRITISDachG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