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KRITISDachG — Erheblichkeit einer Anlage für die Erbringung kritischer Dienstleistungen; Feststellungsbefugnis; Verordnungsermächtigungen</w:t>
      </w:r>
    </w:p>
    <w:p>
      <w:r>
        <w:rPr>
          <w:color w:val="555555"/>
          <w:sz w:val="18"/>
        </w:rPr>
        <w:t xml:space="preserve">KRITIS-Dachgesetz</w:t>
      </w:r>
    </w:p>
    <w:p>
      <w:r>
        <w:rPr>
          <w:color w:val="555555"/>
          <w:sz w:val="18"/>
        </w:rPr>
        <w:t xml:space="preserve">Stand: 29.07.2026 (konsolidierte Textfassung, kein amtliches Inkrafttretensdatum)</w:t>
      </w:r>
    </w:p>
    <w:p>
      <w:r>
        <w:t xml:space="preserve">(1) Das Bundesministerium des Innern bestimmt durch Rechtsverordnung, die nicht der Zustimmung des Bundesrates bedarf,</w:t>
      </w:r>
    </w:p>
    <w:p>
      <w:pPr>
        <w:ind w:left="420"/>
      </w:pPr>
      <w:r>
        <w:t xml:space="preserve">1. Kategorien von Anlagen,</w:t>
      </w:r>
    </w:p>
    <w:p>
      <w:pPr>
        <w:ind w:left="420"/>
      </w:pPr>
      <w:r>
        <w:t xml:space="preserve">2. allgemeine, sektoren-, branchen-, dienstleistungs- oder anlagenspezifische Schwellenwerte zum Versorgungsgrad, bei deren Erreichen eine Anlage einer bestimmten Kategorie nach Nummer 1 nach einem bestimmten Stichtag als erheblich für die Erbringung einer kritischen Dienstleistung gilt und bei deren Unterschreiten eine Anlage nach einem bestimmten Stichtag nicht mehr als solches gilt,</w:t>
      </w:r>
    </w:p>
    <w:p>
      <w:pPr>
        <w:ind w:left="420"/>
      </w:pPr>
      <w:r>
        <w:t xml:space="preserve">3. Stichtage nach Nummer 2 sowie</w:t>
      </w:r>
    </w:p>
    <w:p>
      <w:pPr>
        <w:ind w:left="420"/>
      </w:pPr>
      <w:r>
        <w:t xml:space="preserve">4. Kategorien von Anlagen, die unabhängig von Nummer 2 als erheblich für die Erbringung einer kritischen Dienstleistung gelten.</w:t>
      </w:r>
    </w:p>
    <w:p>
      <w:r>
        <w:t xml:space="preserve">§ 4 Absatz 4 und 5 gilt entsprechend.</w:t>
      </w:r>
    </w:p>
    <w:p>
      <w:r>
        <w:t xml:space="preserve">(2) Bei der Bestimmung der Schwellenwerte zum Versorgungsgrad nach Absatz 1 Satz 1 Nummer 2 werden die nationalen Risikoanalysen und Risikobewertungen sowie die folgenden Kriterien berücksichtigt:</w:t>
      </w:r>
    </w:p>
    <w:p>
      <w:pPr>
        <w:ind w:left="420"/>
      </w:pPr>
      <w:r>
        <w:t xml:space="preserve">1. die Zahl der Einwohner, die die von der Anlage erbrachte kritische Dienstleistung in Anspruch nehmen,</w:t>
      </w:r>
    </w:p>
    <w:p>
      <w:pPr>
        <w:ind w:left="420"/>
      </w:pPr>
      <w:r>
        <w:t xml:space="preserve">2. das Ausmaß der Abhängigkeit anderer Sektoren oder Branchen von der betreffenden kritischen Dienstleistung,</w:t>
      </w:r>
    </w:p>
    <w:p>
      <w:pPr>
        <w:ind w:left="420"/>
      </w:pPr>
      <w:r>
        <w:t xml:space="preserve">3. die Dauer und das Ausmaß möglicher Auswirkungen von Ausfällen und Beeinträchtigungen der Anlage auf wichtige wirtschaftliche Tätigkeiten, die für die Aufrechterhaltung wichtiger gesellschaftlicher Funktionen, die öffentliche Sicherheit oder Ordnung, die Gesundheit der Bevölkerung oder die Erhaltung der natürlichen Lebensgrundlagen von entscheidender Bedeutung sind,</w:t>
      </w:r>
    </w:p>
    <w:p>
      <w:pPr>
        <w:ind w:left="420"/>
      </w:pPr>
      <w:r>
        <w:t xml:space="preserve">4. den Marktanteil des Betreibers der Anlage auf dem Markt für kritische Dienstleistungen,</w:t>
      </w:r>
    </w:p>
    <w:p>
      <w:pPr>
        <w:ind w:left="420"/>
      </w:pPr>
      <w:r>
        <w:t xml:space="preserve">5. das geografische Gebiet, das von einem Vorfall betroffen sein könnte, einschließlich etwaiger grenzüberschreitender Auswirkungen, unter Berücksichtigung der Schwachstellen, die mit dem Grad der Isolierung bestimmter Arten geografischer Gebiete verbunden sind, und</w:t>
      </w:r>
    </w:p>
    <w:p>
      <w:pPr>
        <w:ind w:left="420"/>
      </w:pPr>
      <w:r>
        <w:t xml:space="preserve">6. die Bedeutung des Betreibers der Anlage für die Aufrechterhaltung der kritischen Dienstleistung in ausreichendem Umfang, unter Berücksichtigung der Verfügbarkeit von alternativen Mitteln für die Erbringung der betreffenden kritischen Dienstleistung.</w:t>
      </w:r>
    </w:p>
    <w:p>
      <w:r>
        <w:t xml:space="preserve">Der Regelwert für Schwellenwerte nach Absatz 1 Satz 1 Nummer 2 beträgt grundsätzlich 500 000 von einer Anlage zu versorgende Einwohner.</w:t>
      </w:r>
    </w:p>
    <w:p>
      <w:r>
        <w:t xml:space="preserve">(3) Ist eine Anlage für die Erbringung einer kritischen Dienstleistung erheblich, ohne die Voraussetzungen der Rechtsverordnung des Absatzes 1 Satz 1 zu erfüllen, so stellt das Bundesministerium des Innern dies im Einzelfall fest. Ist eine Anlage für die Erbringung einer kritischen Dienstleistung nicht erheblich, obwohl sie die Voraussetzungen der Rechtsverordnung des Absatzes 1 Satz 1 erfüllt, so stellt das Bundesministerium des Innern dies im Einzelfall fest. Für die Beurteilung der Erheblichkeit einer Anlage für die Erbringung einer kritischen Dienstleistung gilt Absatz 2 entsprechend.</w:t>
      </w:r>
    </w:p>
    <w:p>
      <w:r>
        <w:t xml:space="preserve">(4) Falls für die betroffene Dienstleistung eine Behörde des Bundes die zuständige Behörde ist, erfolgt die Feststellung nach Absatz 3 Satz 1 und 2 im Einvernehmen mit dem Bundesministerium, zu dessen Geschäftsbereich die Behörde gehört. Liegt die Fach- oder Rechtsaufsicht für den Teil einer Behörde, der für die betroffene kritische Dienstleistung zuständig ist, nicht bei dem Bundesministerium, zu dessen Geschäftsbereich sie gehört, erfolgt die Feststellung nach Absatz 3 Satz 1 und 2 im Einvernehmen mit dem Bundesministerium, dessen Fach- oder Rechtsaufsicht der betreffende Teil dieser Behörde untersteht. Im Übrigen erfolgt sie im Benehmen mit dem Landesministerium, zu dessen Geschäftsbereich die für die betroffene Dienstleistung zuständige Behörde gehört. Die zuständigen Behörden machen Vorschläge für Feststellungen nach Absatz 3 Satz 1 und 2.</w:t>
      </w:r>
    </w:p>
    <w:p>
      <w:r>
        <w:t xml:space="preserve">(5) Das Bundesamt für Bevölkerungsschutz und Katastrophenhilfe teilt dem Betreiber der kritischen Anlage im Falle einer Feststellung nach Absatz 3 Satz 1 oder 2 schriftlich oder elektronisch mit, dass er den Verpflichtungen dieses Gesetzes unterliegt oder nicht unterliegt. Es fordert ihn im Falle einer Feststellung nach Absatz 3 Satz 1 zudem zur Registrierung nach § 8 Absatz 1 auf.</w:t>
      </w:r>
    </w:p>
    <w:p>
      <w:r>
        <w:t xml:space="preserve">(6) Entfallen die Voraussetzungen der Feststellung nach Absatz 3 Satz 1 und 2, so stellt das Bundesministerium des Innern dies fest. Die Absätze 4 und 5 gelten entsprechend.</w:t>
      </w:r>
    </w:p>
    <w:p>
      <w:r>
        <w:t xml:space="preserve">(7) Das Bundesministerium des Innern wird ermächtigt, in einer Rechtsverordnung, die der Zustimmung des Bundesrates bedarf, Kriterien und Verfahren festzulegen, mit denen die Länder feststellen können, ob eine Anlage für die Erbringung einer kritischen Dienstleistung erheblich ist, ohne die Voraussetzungen der Rechtsverordnung des Absatzes 1 Satz 1 zu erfüllen. Die Länder können dies für Anlagen feststellen, bei denen für die betroffene Dienstleistung eine Landesbehörde die zuständige Behörde ist. Bei der Festlegung der Kriterien werden die Kriterien nach Absatz 2 berücksichtigt. § 4 Absatz 4 und 5 gilt entsprechend.</w:t>
      </w:r>
    </w:p>
    <w:p>
      <w:r>
        <w:rPr>
          <w:color w:val="555555"/>
          <w:sz w:val="17"/>
        </w:rPr>
        <w:t xml:space="preserve">Zitiervorschlag: § 5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