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KRITISDachG — Geltungsbereich; Sektoren; Verordnungsermächtigung</w:t>
      </w:r>
    </w:p>
    <w:p>
      <w:r>
        <w:rPr>
          <w:color w:val="555555"/>
          <w:sz w:val="18"/>
        </w:rPr>
        <w:t xml:space="preserve">KRITIS-Dachgesetz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Dieses Gesetz gilt für Betreiber kritischer Anlagen in den folgenden Sektoren:</w:t>
      </w:r>
    </w:p>
    <w:p>
      <w:pPr>
        <w:ind w:left="420"/>
      </w:pPr>
      <w:r>
        <w:t xml:space="preserve">1. Energie,</w:t>
      </w:r>
    </w:p>
    <w:p>
      <w:pPr>
        <w:ind w:left="420"/>
      </w:pPr>
      <w:r>
        <w:t xml:space="preserve">2. Transport und Verkehr,</w:t>
      </w:r>
    </w:p>
    <w:p>
      <w:pPr>
        <w:ind w:left="420"/>
      </w:pPr>
      <w:r>
        <w:t xml:space="preserve">3. Finanzwesen,</w:t>
      </w:r>
    </w:p>
    <w:p>
      <w:pPr>
        <w:ind w:left="420"/>
      </w:pPr>
      <w:r>
        <w:t xml:space="preserve">4. Leistungen der Sozialversicherung sowie Grundsicherung für Arbeitsuchende,</w:t>
      </w:r>
    </w:p>
    <w:p>
      <w:pPr>
        <w:ind w:left="420"/>
      </w:pPr>
      <w:r>
        <w:t xml:space="preserve">5. Gesundheitswesen,</w:t>
      </w:r>
    </w:p>
    <w:p>
      <w:pPr>
        <w:ind w:left="420"/>
      </w:pPr>
      <w:r>
        <w:t xml:space="preserve">6. Wasser,</w:t>
      </w:r>
    </w:p>
    <w:p>
      <w:pPr>
        <w:ind w:left="420"/>
      </w:pPr>
      <w:r>
        <w:t xml:space="preserve">7. Ernährung,</w:t>
      </w:r>
    </w:p>
    <w:p>
      <w:pPr>
        <w:ind w:left="420"/>
      </w:pPr>
      <w:r>
        <w:t xml:space="preserve">8. Informationstechnik und Telekommunikation,</w:t>
      </w:r>
    </w:p>
    <w:p>
      <w:pPr>
        <w:ind w:left="420"/>
      </w:pPr>
      <w:r>
        <w:t xml:space="preserve">9. Weltraum und</w:t>
      </w:r>
    </w:p>
    <w:p>
      <w:pPr>
        <w:ind w:left="420"/>
      </w:pPr>
      <w:r>
        <w:t xml:space="preserve">10. Siedlungsabfallentsorgung.</w:t>
      </w:r>
    </w:p>
    <w:p>
      <w:r>
        <w:t xml:space="preserve">(2) § 3 Absatz 8, die §§ 9, 10, 12 bis 16, 18, 19 Absatz 2 sowie die §§ 20, 21 Absatz 6 gelten nicht für</w:t>
      </w:r>
    </w:p>
    <w:p>
      <w:pPr>
        <w:ind w:left="420"/>
      </w:pPr>
      <w:r>
        <w:t xml:space="preserve">1. Finanzunternehmen nach Artikel 2 Absatz 2 der Verordnung (EU) 2022/2554 und Unternehmen, für die die Anforderungen der Verordnung (EU) 2022/2554 auf Grund von § 1a Absatz 2a des Kreditwesengesetzes oder § 293 Absatz 5 des Versicherungsaufsichtsgesetzes gelten,</w:t>
      </w:r>
    </w:p>
    <w:p>
      <w:pPr>
        <w:ind w:left="420"/>
      </w:pPr>
      <w:r>
        <w:t xml:space="preserve">2. Betreiber kritischer Anlagen im Sektor Informationstechnik und Telekommunikation,</w:t>
      </w:r>
    </w:p>
    <w:p>
      <w:pPr>
        <w:ind w:left="420"/>
      </w:pPr>
      <w:r>
        <w:t xml:space="preserve">3. Betreiber kritischer Anlagen im Sektor Siedlungsabfallentsorgung, mit Ausnahme des § 12, und</w:t>
      </w:r>
    </w:p>
    <w:p>
      <w:pPr>
        <w:ind w:left="420"/>
      </w:pPr>
      <w:r>
        <w:t xml:space="preserve">4. für Betreiber kritischer Anlagen im Sektor Leistungen der Sozialversicherung sowie Grundsicherung für Arbeitsuchende, mit Ausnahme des § 12.</w:t>
      </w:r>
    </w:p>
    <w:p>
      <w:r>
        <w:t xml:space="preserve">(3) Das Bundesministerium des Innern bestimmt durch Rechtsverordnung, die nicht der Zustimmung des Bundesrats bedarf, die kritischen Dienstleistungen, die jeweils zu den Sektoren nach Absatz 1 gehören.</w:t>
      </w:r>
    </w:p>
    <w:p>
      <w:r>
        <w:t xml:space="preserve">(4) Die Rechtsverordnung nach Absatz 3 ergeht im Einvernehmen mit</w:t>
      </w:r>
    </w:p>
    <w:p>
      <w:pPr>
        <w:ind w:left="420"/>
      </w:pPr>
      <w:r>
        <w:t xml:space="preserve">1. dem Bundesministerium für Wirtschaft und Energie,</w:t>
      </w:r>
    </w:p>
    <w:p>
      <w:pPr>
        <w:ind w:left="420"/>
      </w:pPr>
      <w:r>
        <w:t xml:space="preserve">2. dem Bundesministerium der Finanzen,</w:t>
      </w:r>
    </w:p>
    <w:p>
      <w:pPr>
        <w:ind w:left="420"/>
      </w:pPr>
      <w:r>
        <w:t xml:space="preserve">3. dem Bundesministerium der Justiz und für Verbraucherschutz,</w:t>
      </w:r>
    </w:p>
    <w:p>
      <w:pPr>
        <w:ind w:left="420"/>
      </w:pPr>
      <w:r>
        <w:t xml:space="preserve">4. dem Bundesministerium für Arbeit und Soziales,</w:t>
      </w:r>
    </w:p>
    <w:p>
      <w:pPr>
        <w:ind w:left="420"/>
      </w:pPr>
      <w:r>
        <w:t xml:space="preserve">5. dem Bundesministerium der Verteidigung,</w:t>
      </w:r>
    </w:p>
    <w:p>
      <w:pPr>
        <w:ind w:left="420"/>
      </w:pPr>
      <w:r>
        <w:t xml:space="preserve">6. dem Bundesministerium für Landwirtschaft, Ernährung und Heimat,</w:t>
      </w:r>
    </w:p>
    <w:p>
      <w:pPr>
        <w:ind w:left="420"/>
      </w:pPr>
      <w:r>
        <w:t xml:space="preserve">7. dem Bundesministerium für Gesundheit,</w:t>
      </w:r>
    </w:p>
    <w:p>
      <w:pPr>
        <w:ind w:left="420"/>
      </w:pPr>
      <w:r>
        <w:t xml:space="preserve">8. dem Bundesministerium für Verkehr,</w:t>
      </w:r>
    </w:p>
    <w:p>
      <w:pPr>
        <w:ind w:left="420"/>
      </w:pPr>
      <w:r>
        <w:t xml:space="preserve">9. dem Bundesministerium für Forschung, Technologie und Raumfahrt,</w:t>
      </w:r>
    </w:p>
    <w:p>
      <w:pPr>
        <w:ind w:left="420"/>
      </w:pPr>
      <w:r>
        <w:t xml:space="preserve">10. dem Bundesministerium für Umwelt, Klimaschutz, Naturschutz und nukleare Sicherheit und</w:t>
      </w:r>
    </w:p>
    <w:p>
      <w:pPr>
        <w:ind w:left="420"/>
      </w:pPr>
      <w:r>
        <w:t xml:space="preserve">11. dem Bundesministerium für Digitales und Staatsmodernisierung.</w:t>
      </w:r>
    </w:p>
    <w:p>
      <w:r>
        <w:t xml:space="preserve">(5) Zugang zu den Akten, die die Erstellung oder Änderung der Verordnung nach Absatz 3 betreffen, wird nicht gewährt. Die Akteneinsichtsrechte von Verfahrensbeteiligten bleiben unberührt.</w:t>
      </w:r>
    </w:p>
    <w:p>
      <w:r>
        <w:rPr>
          <w:color w:val="555555"/>
          <w:sz w:val="17"/>
        </w:rPr>
        <w:t xml:space="preserve">Zitiervorschlag: § 4 KRITISDachG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https://recht.nulegal.eu/gesetze/KRITISDachG/4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