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KRITISDachG — Umsetzungs- und Überwachungspflicht für Geschäftsleitungen</w:t>
      </w:r>
    </w:p>
    <w:p>
      <w:r>
        <w:rPr>
          <w:color w:val="555555"/>
          <w:sz w:val="18"/>
        </w:rPr>
        <w:t xml:space="preserve">KRITIS-Dachgesetz</w:t>
      </w:r>
    </w:p>
    <w:p>
      <w:r>
        <w:rPr>
          <w:color w:val="555555"/>
          <w:sz w:val="18"/>
        </w:rPr>
        <w:t xml:space="preserve">Stand: 17.03.2026 (konsolidierte Textfassung, kein amtliches Inkrafttretensdatum)</w:t>
      </w:r>
    </w:p>
    <w:p>
      <w:r>
        <w:t xml:space="preserve">(1) Geschäftsleitungen von Betreibern kritischer Anlagen sind verpflichtet, die von den Betreibern kritischer Anlagen nach § 13 Absatz 1 zu ergreifenden Resilienzmaßnahmen umzusetzen und ihre Umsetzung durch geeignete Organisationsmaßnahmen sicherzustellen.</w:t>
      </w:r>
    </w:p>
    <w:p>
      <w:r>
        <w:t xml:space="preserve">(2) Geschäftsleitungen, die ihre Pflicht nach Absatz 1 verletzen, haften ihrer Einrichtung für einen schuldhaft verursachten Schaden nach den auf die Rechtsform der Einrichtung anwendbaren Regeln des Gesellschaftsrechts. Nach diesem Gesetz haften sie nur, wenn die für die Einrichtung maßgeblichen gesellschaftsrechtlichen Bestimmungen keine Haftungsregelung nach Satz 1 enthalten.</w:t>
      </w:r>
    </w:p>
    <w:p>
      <w:r>
        <w:rPr>
          <w:color w:val="555555"/>
          <w:sz w:val="17"/>
        </w:rPr>
        <w:t xml:space="preserve">Zitiervorschlag: § 20 KRITISDachG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https://recht.nulegal.eu/gesetze/KRITISDachG/20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