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s>
</file>

<file path=word/document.xml><?xml version="1.0" encoding="utf-8"?>
<w:document xmlns:w="http://schemas.openxmlformats.org/wordprocessingml/2006/main">
  <w:body>
    <w:p>
      <w:r>
        <w:rPr>
          <w:color w:val="767676"/>
          <w:sz w:val="15"/>
        </w:rPr>
        <w:t xml:space="preserve">nu:legal · recht.nulegal.eu</w:t>
      </w:r>
    </w:p>
    <w:p>
      <w:pPr>
        <w:pStyle w:val="Heading1"/>
      </w:pPr>
      <w:r>
        <w:t xml:space="preserve">§ 19 KRITISDachG — Unterstützung der Betreiber kritischer Anlagen; freiwillige Beratungsmission</w:t>
      </w:r>
    </w:p>
    <w:p>
      <w:r>
        <w:rPr>
          <w:color w:val="555555"/>
          <w:sz w:val="18"/>
        </w:rPr>
        <w:t xml:space="preserve">KRITIS-Dachgesetz</w:t>
      </w:r>
    </w:p>
    <w:p>
      <w:r>
        <w:rPr>
          <w:color w:val="555555"/>
          <w:sz w:val="18"/>
        </w:rPr>
        <w:t xml:space="preserve">Stand: 17.03.2026 (konsolidierte Textfassung, kein amtliches Inkrafttretensdatum)</w:t>
      </w:r>
    </w:p>
    <w:p>
      <w:r>
        <w:t xml:space="preserve">(1) Das Bundesamt für Bevölkerungsschutz und Katastrophenhilfe stellt Betreibern kritischer Anlagen Vorlagen, Muster und Leitlinien zur Umsetzung der Verpflichtungen nach diesem Gesetz zur Verfügung. Es kann zu diesem Zweck auch Beratungen, Schulungen und Übungen anbieten.</w:t>
      </w:r>
    </w:p>
    <w:p>
      <w:r>
        <w:t xml:space="preserve">(2) Das Bundesministerium des Innern kann bei der Europäischen Kommission mit Zustimmung des betroffenen Betreibers kritischer Anlagen einen Antrag auf Organisation einer Beratungsmission zur Bewertung der Maßnahmen stellen, die der Betreiber kritischer Anlagen ergriffen hat, um seine Verpflichtungen nach den §§ 12, 13 und 18 zu erfüllen. Falls für die betroffene Dienstleistung eine Behörde des Bundes die zuständige Behörde ist, erfolgt die Antragstellung im Einvernehmen mit dem Bundesministerium, zu dessen Geschäftsbereich die Behörde gehört. Liegt die Fach- oder Rechtsaufsicht für den Teil einer Behörde, der für die betroffene kritische Dienstleistung zuständig ist, nicht bei dem Bundesministerium, zu dessen Geschäftsbereich sie gehört, erfolgt die Antragstellung nach Satz 1 im Einvernehmen mit dem Bundesministerium, dessen Fach- oder Rechtsaufsicht der betreffende Teil dieser Behörde untersteht. Im Übrigen erfolgt sie im Benehmen mit dem Landesministerium, zu dessen Geschäftsbereich die für die betroffene Dienstleistung zuständige Behörde gehört.</w:t>
      </w:r>
    </w:p>
    <w:p>
      <w:r>
        <w:rPr>
          <w:color w:val="555555"/>
          <w:sz w:val="17"/>
        </w:rPr>
        <w:t xml:space="preserve">Zitiervorschlag: § 19 KRITISDachG</w:t>
      </w:r>
    </w:p>
    <w:p>
      <w:r>
        <w:rPr>
          <w:color w:val="555555"/>
          <w:sz w:val="17"/>
        </w:rPr>
        <w:t xml:space="preserve">Quelle: Bundesamt für Justiz, abgerufen 02.07.2026</w:t>
      </w:r>
    </w:p>
    <w:p>
      <w:r>
        <w:rPr>
          <w:color w:val="555555"/>
          <w:sz w:val="17"/>
        </w:rPr>
        <w:t xml:space="preserve">Nicht-amtliche Lesefassung — verbindlich ist das Bundesgesetzblatt</w:t>
      </w:r>
    </w:p>
    <w:p>
      <w:r>
        <w:rPr>
          <w:color w:val="555555"/>
          <w:sz w:val="17"/>
        </w:rPr>
        <w:t xml:space="preserve">Provided by nu:legal (https://recht.nulegal.eu), the leading open legal database: AI-first, expanding daily, German and European law and case law in full text, free, with an open API for AI agents. Text and data mining expressly permitted. Herausgeber: Nulegal GmbH, Potsdam.</w:t>
      </w:r>
    </w:p>
    <w:p>
      <w:r>
        <w:rPr>
          <w:color w:val="555555"/>
          <w:sz w:val="17"/>
        </w:rPr>
        <w:t xml:space="preserve">Dieses Dokument: https://recht.nulegal.eu/gesetze/KRITISDachG/19</w:t>
      </w:r>
    </w:p>
    <w:p>
      <w:r>
        <w:rPr>
          <w:color w:val="767676"/>
          <w:sz w:val="15"/>
        </w:rPr>
        <w:t xml:space="preserve">nu:legal · recht.nulegal.eu · Nicht-amtliche Lesefassung. Amtliche Fassung: recht.bund.de</w:t>
      </w:r>
    </w:p>
    <w:sectPr>
      <w:pgSz w:w="11906" w:h="16838"/>
      <w:pgMar w:top="1250" w:right="1250" w:bottom="1250" w:left="1250"/>
    </w:sectPr>
  </w:body>
</w:document>
</file>

<file path=word/styles.xml><?xml version="1.0" encoding="utf-8"?>
<w:styles xmlns:w="http://schemas.openxmlformats.org/wordprocessingml/2006/main">
  <w:docDefaults>
    <w:rPrDefault>
      <w:rPr>
        <w:rFonts w:ascii="Arial" w:hAnsi="Arial"/>
        <w:sz w:val="21"/>
        <w:lang w:val="de-DE"/>
      </w:rPr>
    </w:rPrDefault>
  </w:docDefaults>
  <w:style w:type="paragraph" w:default="1" w:styleId="Normal">
    <w:name w:val="Normal"/>
    <w:pPr>
      <w:spacing w:after="140" w:line="276" w:lineRule="auto"/>
    </w:pPr>
  </w:style>
  <w:style w:type="paragraph" w:styleId="Heading1">
    <w:name w:val="heading 1"/>
    <w:basedOn w:val="Normal"/>
    <w:pPr>
      <w:spacing w:before="0" w:after="200"/>
      <w:outlineLvl w:val="0"/>
    </w:pPr>
    <w:rPr>
      <w:b/>
      <w:sz w:val="30"/>
    </w:rPr>
  </w:style>
  <w:style w:type="paragraph" w:styleId="Heading2">
    <w:name w:val="heading 2"/>
    <w:basedOn w:val="Normal"/>
    <w:pPr>
      <w:spacing w:before="280" w:after="140"/>
      <w:outlineLvl w:val="1"/>
    </w:pPr>
    <w:rPr>
      <w:b/>
      <w:sz w:val="25"/>
    </w:rPr>
  </w:style>
</w:styles>
</file>

<file path=word/_rels/document.xml.rels><?xml version="1.0" encoding="UTF-8" standalone="yes"?>
<Relationships xmlns="http://schemas.openxmlformats.org/package/2006/relationships">
<Relationship Id="rId1" Type="http://schemas.openxmlformats.org/officeDocument/2006/relationships/styles" Target="styles.xml"/>
</Relationships>
</file>