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KRITISDachG — Vorrang von Durchführungsrechtsakten der Europäischen Kommission zu Resilienzpflichten</w:t>
      </w:r>
    </w:p>
    <w:p>
      <w:r>
        <w:rPr>
          <w:color w:val="555555"/>
          <w:sz w:val="18"/>
        </w:rPr>
        <w:t xml:space="preserve">KRITIS-Dachgesetz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Konkretisiert die Europäische Kommission durch einen oder mehrere Durchführungsrechtsakte gemäß Artikel 13 Absatz 6 der Richtlinie (EU) 2022/2557 die technischen und methodischen Spezifikationen für die Verpflichtungen nach § 13 Absatz 1, so gehen die Regelungen entgegenstehenden Vorschriften des § 13 und entgegenstehenden Regelungen, die auf Grundlage von § 14 erlassen wurden, vor.</w:t>
      </w:r>
    </w:p>
    <w:p>
      <w:r>
        <w:rPr>
          <w:color w:val="555555"/>
          <w:sz w:val="17"/>
        </w:rPr>
        <w:t xml:space="preserve">Zitiervorschlag: § 15 KRITISDachG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https://recht.nulegal.eu/gesetze/KRITISDachG/15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