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KRITISDachG — Sektorenübergreifende und sektorspezifische Mindestanforderungen; branchenspezifische Resilienzstandards; Verordnungsermächtigungen</w:t>
      </w:r>
    </w:p>
    <w:p>
      <w:r>
        <w:rPr>
          <w:color w:val="555555"/>
          <w:sz w:val="18"/>
        </w:rPr>
        <w:t xml:space="preserve">KRITIS-Dachgesetz</w:t>
      </w:r>
    </w:p>
    <w:p>
      <w:r>
        <w:rPr>
          <w:color w:val="555555"/>
          <w:sz w:val="18"/>
        </w:rPr>
        <w:t xml:space="preserve">Stand: 17.03.2026 (konsolidierte Textfassung, kein amtliches Inkrafttretensdatum)</w:t>
      </w:r>
    </w:p>
    <w:p>
      <w:r>
        <w:t xml:space="preserve">(1) Das Bundesministerium des Innern wird ermächtigt, durch Rechtsverordnung, die der Zustimmung des Bundesrates bedarf, zur Konkretisierung der Verpflichtungen nach § 13 Absatz 1 sektorenübergreifende Mindestanforderungen zu bestimmen. Zudem gilt § 4 Absatz 4 entsprechend. Das Bundesministerium des Innern kann die Ermächtigung nach Satz 1 durch Rechtsverordnung auf das Bundesamt für Bevölkerungsschutz und Katastrophenhilfe übertragen.</w:t>
      </w:r>
    </w:p>
    <w:p>
      <w:r>
        <w:t xml:space="preserve">(2) Betreiber kritischer Anlagen oder ihre Branchenverbände können branchenspezifische Resilienzstandards zur Konkretisierung der Verpflichtungen nach § 13 Absatz 1 vorschlagen. Soweit das Bundesamt für Sicherheit in der Informationstechnik branchenspezifische Standards nach § 30 Absatz 8 des BSI-Gesetzes hat, sollen diese die Grundlage für branchenspezifische Resilienzstandards nach Satz 1 sein. Das Bundesamt für Bevölkerungsschutz und Katastrophenhilfe stellt auf Antrag die Geeignetheit dieser branchenspezifischen Resilienzstandards zur Gewährleistung der Anforderungen nach Absatz 1 fest und veröffentlicht diese auf seiner Internetseite. Die Feststellung erfolgt</w:t>
      </w:r>
    </w:p>
    <w:p>
      <w:pPr>
        <w:ind w:left="420"/>
      </w:pPr>
      <w:r>
        <w:t xml:space="preserve">1. im Einvernehmen mit dem Bundesamt für Sicherheit in der Informationstechnik,</w:t>
      </w:r>
    </w:p>
    <w:p>
      <w:pPr>
        <w:ind w:left="420"/>
      </w:pPr>
      <w:r>
        <w:t xml:space="preserve">2. falls für die betroffene Dienstleistung eine Behörde des Bundes die zuständige Behörde ist, in deren Einvernehmen,</w:t>
      </w:r>
    </w:p>
    <w:p>
      <w:pPr>
        <w:ind w:left="420"/>
      </w:pPr>
      <w:r>
        <w:t xml:space="preserve">3. falls für die betroffene Dienstleistung Behörden der Länder die zuständigen Behörden sind, in deren Benehmen und</w:t>
      </w:r>
    </w:p>
    <w:p>
      <w:pPr>
        <w:ind w:left="420"/>
      </w:pPr>
      <w:r>
        <w:t xml:space="preserve">4. im Sektor Energie im Benehmen mit dem Bundesamt für Seeschifffahrt und Hydrographie, soweit maritime Infrastrukturen in der ausschließlichen Wirtschaftszone betroffen sind.</w:t>
      </w:r>
    </w:p>
    <w:p>
      <w:r>
        <w:t xml:space="preserve">Aus Gründen des öffentlichen Interesses werden für die Feststellung keine Gebühren oder Auslagen für die Tätigkeit des Bundesamtes für Bevölkerungsschutz und Katastrophenhilfe erhoben.</w:t>
      </w:r>
    </w:p>
    <w:p>
      <w:r>
        <w:t xml:space="preserve">(3) (zukünftig in Kraft)</w:t>
      </w:r>
    </w:p>
    <w:p>
      <w:r>
        <w:t xml:space="preserve">(4) (zukünftig in Kraft)</w:t>
      </w:r>
    </w:p>
    <w:p>
      <w:r>
        <w:t xml:space="preserve">(5) (zukünftig in Kraft)</w:t>
      </w:r>
    </w:p>
    <w:p>
      <w:r>
        <w:rPr>
          <w:color w:val="555555"/>
          <w:sz w:val="17"/>
        </w:rPr>
        <w:t xml:space="preserve">Zitiervorschlag: § 14 KRITISDachG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https://recht.nulegal.eu/gesetze/KRITISDachG/14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