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KRITISDachG — Risikoanalyse und Risikobewertung des Betreibers kritischer Anlagen; Verordnungsermächtigung</w:t>
      </w:r>
    </w:p>
    <w:p>
      <w:r>
        <w:rPr>
          <w:color w:val="555555"/>
          <w:sz w:val="18"/>
        </w:rPr>
        <w:t xml:space="preserve">KRITIS-Dachgesetz</w:t>
      </w:r>
    </w:p>
    <w:p>
      <w:r>
        <w:rPr>
          <w:color w:val="555555"/>
          <w:sz w:val="18"/>
        </w:rPr>
        <w:t xml:space="preserve">Stand: 17.03.2026 (konsolidierte Textfassung, kein amtliches Inkrafttretensdatum)</w:t>
      </w:r>
    </w:p>
    <w:p>
      <w:r>
        <w:t xml:space="preserve">(1) Der Betreiber kritischer Anlagen führt auf Grundlage der nationalen Risikoanalysen und Risikobewertungen und anderer vertrauenswürdiger Informationsquellen im Bedarfsfall, mindestens jedoch alle vier Jahre, eine Risikoanalyse und Risikobewertung durch, die Folgendes berücksichtigt:</w:t>
      </w:r>
    </w:p>
    <w:p>
      <w:pPr>
        <w:ind w:left="420"/>
      </w:pPr>
      <w:r>
        <w:t xml:space="preserve">1. die in § 11 Absatz 2 Nummer 1 genannten Risiken,</w:t>
      </w:r>
    </w:p>
    <w:p>
      <w:pPr>
        <w:ind w:left="420"/>
      </w:pPr>
      <w:r>
        <w:t xml:space="preserve">2. Risiken, die geeignet sein können, die Verfügbarkeit der kritischen Dienstleistungen zu beeinträchtigen und die sich aus Folgendem ergeben:</w:t>
      </w:r>
    </w:p>
    <w:p>
      <w:pPr>
        <w:ind w:left="780"/>
      </w:pPr>
      <w:r>
        <w:t xml:space="preserve">a) dem Ausmaß der Abhängigkeit des Betreibers kritischer Anlagen von den kritischen Dienstleistungen, die von anderen Betreibern kritischer Anlagen auch in anderen Sektoren und auch in benachbarten Mitgliedstaaten der Europäischen Union und in Drittstaaten erbracht werden, und</w:t>
      </w:r>
    </w:p>
    <w:p>
      <w:pPr>
        <w:ind w:left="780"/>
      </w:pPr>
      <w:r>
        <w:t xml:space="preserve">b) dem Ausmaß der Abhängigkeiten anderer Sektoren von der kritischen Dienstleistung, die von einem Betreiber kritischer Anlagen auch in benachbarten Mitgliedstaaten der Europäischen Union und Drittstaaten erbracht wird.</w:t>
      </w:r>
    </w:p>
    <w:p>
      <w:r>
        <w:t xml:space="preserve">(2) Die Besonderheiten maritimer Infrastrukturen werden bei den Risikoanalysen und Risikobewertungen berücksichtigt.</w:t>
      </w:r>
    </w:p>
    <w:p>
      <w:r>
        <w:t xml:space="preserve">(3) Das Bundesministerium des Innern wird ermächtigt, durch Rechtsverordnung, die der Zustimmung des Bundesrates bedarf, inhaltliche und methodische Vorgaben einschließlich Vorlagen und Muster für die Risikoanalysen und Risikobewertungen der Betreiber kritischer Anlagen zu bestimmen. § 4 Absatz 4 und 5 gilt entsprechend. Das Bundesministerium des Innern kann die Ermächtigung nach Satz 1 durch Rechtsverordnung auf das Bundesamt für Bevölkerungsschutz und Katastrophenhilfe übertragen.</w:t>
      </w:r>
    </w:p>
    <w:p>
      <w:r>
        <w:rPr>
          <w:color w:val="555555"/>
          <w:sz w:val="17"/>
        </w:rPr>
        <w:t xml:space="preserve">Zitiervorschlag: § 12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