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KRITISDachG — Beratungsmission bei Einrichtungen von besonderer Bedeutung für Europa</w:t>
      </w:r>
    </w:p>
    <w:p>
      <w:r>
        <w:rPr>
          <w:color w:val="555555"/>
          <w:sz w:val="18"/>
        </w:rPr>
        <w:t xml:space="preserve">KRITIS-Dachgesetz</w:t>
      </w:r>
    </w:p>
    <w:p>
      <w:r>
        <w:rPr>
          <w:color w:val="555555"/>
          <w:sz w:val="18"/>
        </w:rPr>
        <w:t xml:space="preserve">Stand: 17.03.2026 (konsolidierte Textfassung, kein amtliches Inkrafttretensdatum)</w:t>
      </w:r>
    </w:p>
    <w:p>
      <w:r>
        <w:t xml:space="preserve">(1) Das Bundesministerium des Innern kann einen Antrag bei der Europäischen Kommission auf Einrichtung einer Beratungsmission zur Bewertung der Maßnahmen stellen, die eine kritische Einrichtung von besonderer Bedeutung für Europa ergriffen hat, um ihre Verpflichtungen nach den §§ 12, 13 und 18 zu erfüllen. Einer Beratungsmission im Sinne des Satzes 1, die die Europäische Kommission vorschlägt oder ein anderer Mitgliedstaat der Europäischen Union beantragt, kann das Bundesministerium des Innern zustimmen. Falls für die betroffene Dienstleistung eine Behörde des Bundes die zuständige Behörde ist, erfolgen der Antrag nach Satz 1 und die Zustimmung nach Satz 2 im Einvernehmen mit dem Bundesministerium, zu dessen Geschäftsbereich die Behörde gehört. Liegt die Fach- oder Rechtsaufsicht für den Teil einer Behörde, der für die betroffene kritische Dienstleistung zuständig ist, nicht bei dem Bundesministerium, zu dessen Geschäftsbereich sie gehört, erfolgen der Antrag nach Satz 1 und die Zustimmung nach Satz 2 im Einvernehmen mit dem Bundesministerium, dessen Fach- oder Rechtsaufsicht der betreffende Teil dieser Behörde untersteht. Im Übrigen erfolgen sie im Benehmen mit dem Landesministerium, zu dessen Geschäftsbereich die für die betroffene Dienstleistung zuständige Behörde gehört.</w:t>
      </w:r>
    </w:p>
    <w:p>
      <w:r>
        <w:t xml:space="preserve">(2) Die kritische Einrichtung mit besonderer Bedeutung für Europa unterstützt das Bundesministerium des Innern bei der Zurverfügungstellung der Informationen für die Beratungsmission.</w:t>
      </w:r>
    </w:p>
    <w:p>
      <w:r>
        <w:t xml:space="preserve">(3) Die kritische Einrichtung von besonderer Bedeutung für Europa gewährt der Beratungsmission Zugang zu Informationen, Systemen und Anlagen im Zusammenhang mit der Erbringung ihrer kritischen Dienstleistung, soweit dies zur Durchführung der Beratungsmission erforderlich ist. Soweit dies zum Zwecke des Satzes 1 erforderlich ist, ist der Beratungsmission während der üblichen Geschäftszeiten Zugang zu Geschäftsräumen und Betriebsstätten zu gewähren.</w:t>
      </w:r>
    </w:p>
    <w:p>
      <w:r>
        <w:t xml:space="preserve">(4) Für die Absätze 2 und 3 gilt § 8 Absatz 2 Satz 2 sinngemäß.</w:t>
      </w:r>
    </w:p>
    <w:p>
      <w:r>
        <w:t xml:space="preserve">(5) Die kritische Einrichtung von besonderer Bedeutung für Europa berücksichtigt die Stellungnahme der Europäischen Kommission auf Grundlage des Berichts der Beratungsmission bei der fortlaufenden Umsetzung der Verpflichtungen nach den §§ 12, 13 und 18.</w:t>
      </w:r>
    </w:p>
    <w:p>
      <w:r>
        <w:t xml:space="preserve">(6) Konkretisiert die Europäische Kommission durch einen oder mehrere Durchführungsrechtsakte gemäß Artikel 18 Absatz 6 der Richtlinie (EU) 2022/2557 das Verfahren der Beratungsmission, so gehen diese Regelungen entgegenstehenden Vorschriften dieses Paragraphen, mit Ausnahme des Absatzes 4, vor.</w:t>
      </w:r>
    </w:p>
    <w:p>
      <w:r>
        <w:rPr>
          <w:color w:val="555555"/>
          <w:sz w:val="17"/>
        </w:rPr>
        <w:t xml:space="preserve">Zitiervorschlag: § 10 KRITISDachG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https://recht.nulegal.eu/gesetze/KRITISDachG/10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