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KRITISDachG — Nationale KRITIS-Resilienzstrategie</w:t>
      </w:r>
    </w:p>
    <w:p>
      <w:r>
        <w:rPr>
          <w:color w:val="555555"/>
          <w:sz w:val="18"/>
        </w:rPr>
        <w:t xml:space="preserve">KRITIS-Dachgesetz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Die Bundesregierung soll eine Strategie zur Verbesserung der Resilienz kritischer Infrastrukturen verabschieden. Die Strategie beinhaltet Erwägungen zu Transparenzpflichten für kritische Infrastrukturen.</w:t>
      </w:r>
    </w:p>
    <w:p>
      <w:r>
        <w:rPr>
          <w:color w:val="555555"/>
          <w:sz w:val="17"/>
        </w:rPr>
        <w:t xml:space="preserve">Zitiervorschlag: § 1 KRITISDachG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https://recht.nulegal.eu/gesetze/KRITISDachG/1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