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KREBSREGISTERSTV_G_1998 (Brandenburg)</w:t>
      </w:r>
    </w:p>
    <w:p>
      <w:r>
        <w:rPr>
          <w:color w:val="555555"/>
          <w:sz w:val="18"/>
        </w:rPr>
        <w:t xml:space="preserve">Gesetz zu dem Staatsvertrag über das Gemeinsame Krebsregister der Länder Berlin, Brandenburg, Mecklenburg-Vorpommern, Sachsen-Anhalt und der Freistaaten Sachsen und Thüringen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wird das Grundrecht auf Datenschutz (Artikel 11 der Landesverfassung) eingeschränkt.</w:t>
      </w:r>
    </w:p>
    <w:p>
      <w:r>
        <w:rPr>
          <w:color w:val="555555"/>
          <w:sz w:val="17"/>
        </w:rPr>
        <w:t xml:space="preserve">Zitiervorschlag: § 3 KREBSREGISTERSTV_G_1998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https://recht.nulegal.eu/gesetze/KREBSREGISTERSTV_G_1998/3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