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KPrüfTechnAusbV — Prüfungsbereich Rohstoff- und Werkstoffprüfung</w:t>
      </w:r>
    </w:p>
    <w:p>
      <w:r>
        <w:rPr>
          <w:color w:val="555555"/>
          <w:sz w:val="18"/>
        </w:rPr>
        <w:t xml:space="preserve">Keramikprüftechnologenausbildungsverordnung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Rohstoff- und Werkstoffprüfung soll der Prüfling nachweisen, dass er in der Lage ist, sechs der folgenden Untersuchungen durchzuführen:</w:t>
      </w:r>
    </w:p>
    <w:p>
      <w:pPr>
        <w:ind w:left="420"/>
      </w:pPr>
      <w:r>
        <w:t xml:space="preserve">1. Dichte messen,</w:t>
      </w:r>
    </w:p>
    <w:p>
      <w:pPr>
        <w:ind w:left="420"/>
      </w:pPr>
      <w:r>
        <w:t xml:space="preserve">2. Porosität ermitteln,</w:t>
      </w:r>
    </w:p>
    <w:p>
      <w:pPr>
        <w:ind w:left="420"/>
      </w:pPr>
      <w:r>
        <w:t xml:space="preserve">3. Feuchte bestimmen,</w:t>
      </w:r>
    </w:p>
    <w:p>
      <w:pPr>
        <w:ind w:left="420"/>
      </w:pPr>
      <w:r>
        <w:t xml:space="preserve">4. Korngröße bestimmen,</w:t>
      </w:r>
    </w:p>
    <w:p>
      <w:pPr>
        <w:ind w:left="420"/>
      </w:pPr>
      <w:r>
        <w:t xml:space="preserve">5. Glühverlust bestimmen,</w:t>
      </w:r>
    </w:p>
    <w:p>
      <w:pPr>
        <w:ind w:left="420"/>
      </w:pPr>
      <w:r>
        <w:t xml:space="preserve">6. Brennfarbe prüfen,</w:t>
      </w:r>
    </w:p>
    <w:p>
      <w:pPr>
        <w:ind w:left="420"/>
      </w:pPr>
      <w:r>
        <w:t xml:space="preserve">7. Schwindung prüfen,</w:t>
      </w:r>
    </w:p>
    <w:p>
      <w:pPr>
        <w:ind w:left="420"/>
      </w:pPr>
      <w:r>
        <w:t xml:space="preserve">8. Maßhaltigkeit prüfen,</w:t>
      </w:r>
    </w:p>
    <w:p>
      <w:pPr>
        <w:ind w:left="420"/>
      </w:pPr>
      <w:r>
        <w:t xml:space="preserve">9. äußere Beschaffenheit prüfen,</w:t>
      </w:r>
    </w:p>
    <w:p>
      <w:pPr>
        <w:ind w:left="420"/>
      </w:pPr>
      <w:r>
        <w:t xml:space="preserve">10. Vorprobe mit Boraxperle durchführen,</w:t>
      </w:r>
    </w:p>
    <w:p>
      <w:pPr>
        <w:ind w:left="420"/>
      </w:pPr>
      <w:r>
        <w:t xml:space="preserve">11. Vorprobe mit Flammenfärbung durchführen und</w:t>
      </w:r>
    </w:p>
    <w:p>
      <w:pPr>
        <w:ind w:left="420"/>
      </w:pPr>
      <w:r>
        <w:t xml:space="preserve">12. pH-Wert messen.</w:t>
      </w:r>
    </w:p>
    <w:p>
      <w:r>
        <w:t xml:space="preserve">Weiterhin soll er nachweisen, dass er in der Lage ist, bei der jeweiligen Untersuchung Vorgaben zum Arbeits-, Gesundheits- und Umweltschutz einzuhalten.</w:t>
      </w:r>
    </w:p>
    <w:p>
      <w:r>
        <w:t xml:space="preserve">(2) Der Prüfungsausschuss legt die sechs durchzuführenden Untersuchungen fest. Der Prüfling soll zu jeder der sechs Untersuchungen jeweils eine Arbeitsprobe durchführen.</w:t>
      </w:r>
    </w:p>
    <w:p>
      <w:r>
        <w:t xml:space="preserve">(3) Die Prüfungszeit beträgt insgesamt 240 Minuten.</w:t>
      </w:r>
    </w:p>
    <w:p>
      <w:r>
        <w:rPr>
          <w:color w:val="555555"/>
          <w:sz w:val="17"/>
        </w:rPr>
        <w:t xml:space="preserve">Zitiervorschlag: § 9 KPrüfTechnAusbV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https://recht.nulegal.eu/gesetze/KPr%C3%BCfTechnAusbV/9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