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KPrüfTechnAusbV — Ziel und Zeitpunkt</w:t>
      </w:r>
    </w:p>
    <w:p>
      <w:r>
        <w:rPr>
          <w:color w:val="555555"/>
          <w:sz w:val="18"/>
        </w:rPr>
        <w:t xml:space="preserve">Keramikprüftechnologenausbildungsverordnung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Ermittlung des Ausbildungsstandes ist eine Zwischenprüfung durchzuführen.</w:t>
      </w:r>
    </w:p>
    <w:p>
      <w:r>
        <w:t xml:space="preserve">(2) Die Zwischenprüfung findet im vierten Ausbildungshalbjahr statt.</w:t>
      </w:r>
    </w:p>
    <w:p>
      <w:r>
        <w:rPr>
          <w:color w:val="555555"/>
          <w:sz w:val="17"/>
        </w:rPr>
        <w:t xml:space="preserve">Zitiervorschlag: § 6 KPrüfTechnAusbV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https://recht.nulegal.eu/gesetze/KPr%C3%BCfTechnAusbV/6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