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KPrüfTechnAusbV — Inkrafttreten</w:t>
      </w:r>
    </w:p>
    <w:p>
      <w:r>
        <w:rPr>
          <w:color w:val="555555"/>
          <w:sz w:val="18"/>
        </w:rPr>
        <w:t xml:space="preserve">Keramikprüftechnologenausbildungsverordnung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2018 in Kraft.</w:t>
      </w:r>
    </w:p>
    <w:p>
      <w:r>
        <w:rPr>
          <w:color w:val="555555"/>
          <w:sz w:val="17"/>
        </w:rPr>
        <w:t xml:space="preserve">Zitiervorschlag: § 20 KPrüfTechnAusbV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https://recht.nulegal.eu/gesetze/KPr%C3%BCfTechnAusbV/20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