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KPrüfTechnAusbV — Prüfungsbereich Werkstofftechnologie und Werkstoffeigenschaften</w:t>
      </w:r>
    </w:p>
    <w:p>
      <w:r>
        <w:rPr>
          <w:color w:val="555555"/>
          <w:sz w:val="18"/>
        </w:rPr>
        <w:t xml:space="preserve">Keramikprüftechnologenausbildungsverordnung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Werkstofftechnologie und Werkstoffeigenschaften soll der Prüfling nachweisen, dass er in der Lage ist,</w:t>
      </w:r>
    </w:p>
    <w:p>
      <w:pPr>
        <w:ind w:left="420"/>
      </w:pPr>
      <w:r>
        <w:t xml:space="preserve">1. Eigenschaften und Anwendungsbereiche von Rohstoffen und Werkstoffen zu beschreiben,</w:t>
      </w:r>
    </w:p>
    <w:p>
      <w:pPr>
        <w:ind w:left="420"/>
      </w:pPr>
      <w:r>
        <w:t xml:space="preserve">2. branchentypische Herstellungsverfahren darzustellen,</w:t>
      </w:r>
    </w:p>
    <w:p>
      <w:pPr>
        <w:ind w:left="420"/>
      </w:pPr>
      <w:r>
        <w:t xml:space="preserve">3. Maßnahmen zur Qualitätssicherung aufzuzeigen und</w:t>
      </w:r>
    </w:p>
    <w:p>
      <w:pPr>
        <w:ind w:left="420"/>
      </w:pPr>
      <w:r>
        <w:t xml:space="preserve">4. fachliche Berechnungen durchzuführen.</w:t>
      </w:r>
    </w:p>
    <w:p>
      <w:r>
        <w:t xml:space="preserve">(2) Der Prüfling soll Aufgaben schriftlich bearbeiten.</w:t>
      </w:r>
    </w:p>
    <w:p>
      <w:r>
        <w:t xml:space="preserve">(3) Die Prüfungszeit beträgt 90 Minuten.</w:t>
      </w:r>
    </w:p>
    <w:p>
      <w:r>
        <w:rPr>
          <w:color w:val="555555"/>
          <w:sz w:val="17"/>
        </w:rPr>
        <w:t xml:space="preserve">Zitiervorschlag: § 10 KPrüfTechnAusbV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https://recht.nulegal.eu/gesetze/KPr%C3%BCfTechnAusbV/10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