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KPrüfTechnAusbV — Staatliche Anerkennung des Ausbildungsberufes</w:t>
      </w:r>
    </w:p>
    <w:p>
      <w:r>
        <w:rPr>
          <w:color w:val="555555"/>
          <w:sz w:val="18"/>
        </w:rPr>
        <w:t xml:space="preserve">Keramikprüftechnologenausbildungsverordnung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Prüftechnologen Keramik und der Prüftechnologin Keramik wird nach § 4 Absatz 1 des Berufsbildungsgesetzes staatlich anerkannt.</w:t>
      </w:r>
    </w:p>
    <w:p>
      <w:r>
        <w:rPr>
          <w:color w:val="555555"/>
          <w:sz w:val="17"/>
        </w:rPr>
        <w:t xml:space="preserve">Zitiervorschlag: § 1 KPrüfTechnAusbV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https://recht.nulegal.eu/gesetze/KPr%C3%BCfTechnAusbV/1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