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KPBV — Inkrafttreten</w:t>
      </w:r>
    </w:p>
    <w:p>
      <w:r>
        <w:rPr>
          <w:color w:val="555555"/>
          <w:sz w:val="18"/>
        </w:rPr>
        <w:t xml:space="preserve">Klinische Prüfung-Bewertungsverfahren-Verordnung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vorbehaltlich des Absatzes 2 am Tag nach der Verkündung in Kraft.</w:t>
      </w:r>
    </w:p>
    <w:p>
      <w:r>
        <w:t xml:space="preserve">(2) Die §§ 5 bis 12 treten sechs Monate nach der Veröffentlichung der Mitteilung der Europäischen Kommission über die Funktionsfähigkeit des EU-Portals und der Datenbank nach Artikel 82 der Verordnung (EU) Nr. 536/2014 im Amtsblatt der Europäischen Union in Kraft.</w:t>
      </w:r>
    </w:p>
    <w:p>
      <w:r>
        <w:t xml:space="preserve">(3) Das Bundesministerium für Gesundheit gibt den Tag des Inkrafttretens nach Absatz 2 im Bundesgesetzblatt bekannt.</w:t>
      </w:r>
    </w:p>
    <w:p>
      <w:r>
        <w:rPr>
          <w:color w:val="555555"/>
          <w:sz w:val="17"/>
        </w:rPr>
        <w:t xml:space="preserve">Zitiervorschlag: § 13 KPBV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