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KPBV — Gebühren</w:t>
      </w:r>
    </w:p>
    <w:p>
      <w:r>
        <w:rPr>
          <w:color w:val="555555"/>
          <w:sz w:val="18"/>
        </w:rPr>
        <w:t xml:space="preserve">Klinische Prüfung-Bewertungsverfahren-Verordnung</w:t>
      </w:r>
    </w:p>
    <w:p>
      <w:r>
        <w:rPr>
          <w:color w:val="555555"/>
          <w:sz w:val="18"/>
        </w:rPr>
        <w:t xml:space="preserve">Stand: 19.09.2025 (konsolidierte Textfassung, kein amtliches Inkrafttretensdatum)</w:t>
      </w:r>
    </w:p>
    <w:p>
      <w:r>
        <w:t xml:space="preserve">(1) Der zuständigen Ethik-Kommission stehen die nach dem in der Anlage 3 enthaltenen Gebührenverzeichnis festgelegten Gebühren und Rahmensätze im Zusammenhang mit klinischen Prüfungen zu.</w:t>
      </w:r>
    </w:p>
    <w:p>
      <w:r>
        <w:t xml:space="preserve">(2) Im Übrigen gelten für die zuständigen Ethik-Kommissionen der Länder die gebührenrechtlichen Regelungen der Länder.</w:t>
      </w:r>
    </w:p>
    <w:p>
      <w:r>
        <w:t xml:space="preserve">(3) Die zuständige Bundesoberbehörde überweist den auf der Grundlage von § 40 Absatz 6 Satz 2 des Arzneimittelgesetzes für die zuständige Ethik-Kommission vereinnahmten Betrag innerhalb von 21 Tagen an den Träger der zuständigen Ethik-Kommission. Die Frist nach Satz 1 beginnt mit dem Tag, an dem</w:t>
      </w:r>
    </w:p>
    <w:p>
      <w:pPr>
        <w:ind w:left="420"/>
      </w:pPr>
      <w:r>
        <w:t xml:space="preserve">1. die zuständige Bundesoberbehörde den in Satz 1 genannten Betrag vereinnahmt hat und</w:t>
      </w:r>
    </w:p>
    <w:p>
      <w:pPr>
        <w:ind w:left="420"/>
      </w:pPr>
      <w:r>
        <w:t xml:space="preserve">2. die Bestandskraft des Gebührenbescheides über die Gesamtgebühr eingetreten ist.</w:t>
      </w:r>
    </w:p>
    <w:p>
      <w:r>
        <w:t xml:space="preserve">Entscheidend ist jeweils das spätere Ereignis.</w:t>
      </w:r>
    </w:p>
    <w:p>
      <w:r>
        <w:rPr>
          <w:color w:val="555555"/>
          <w:sz w:val="17"/>
        </w:rPr>
        <w:t xml:space="preserve">Zitiervorschlag: § 12 KPBV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