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KPBV — Korrekturmaßnahmen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22.02.2022 (konsolidierte Textfassung, kein amtliches Inkrafttretensdatum)</w:t>
      </w:r>
    </w:p>
    <w:p>
      <w:r>
        <w:t xml:space="preserve">Die zuständige Bundesoberbehörde informiert die zuständige Ethik-Kommission über beabsichtigte Korrekturmaßnahmen nach § 42 Absatz 2 bis 4 des Arzneimittelgesetzes. Die zuständige Ethik-Kommission gibt ihre Stellungnahme nach § 42 Absatz 5 des Arzneimittelgesetzes innerhalb von sieben Tagen nach dem Tag, an dem sie von der zuständigen Bundesoberbehörde informiert wurde, gegenüber der zuständigen Bundesoberbehörde ab.</w:t>
      </w:r>
    </w:p>
    <w:p>
      <w:r>
        <w:rPr>
          <w:color w:val="555555"/>
          <w:sz w:val="17"/>
        </w:rPr>
        <w:t xml:space="preserve">Zitiervorschlag: § 11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