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KPBV — Bewertungsverfahren nach Artikel 44 der Verordnung (EU) Nr. 536/2014</w:t>
      </w:r>
    </w:p>
    <w:p>
      <w:r>
        <w:rPr>
          <w:color w:val="555555"/>
          <w:sz w:val="18"/>
        </w:rPr>
        <w:t xml:space="preserve">Klinische Prüfung-Bewertungsverfahren-Verordnung</w:t>
      </w:r>
    </w:p>
    <w:p>
      <w:r>
        <w:rPr>
          <w:color w:val="555555"/>
          <w:sz w:val="18"/>
        </w:rPr>
        <w:t xml:space="preserve">Stand: 22.02.2022 (konsolidierte Textfassung, kein amtliches Inkrafttretensdatum)</w:t>
      </w:r>
    </w:p>
    <w:p>
      <w:r>
        <w:t xml:space="preserve">Die zuständige Ethik-Kommission übermittelt ihre Bewertung nach § 40c Absatz 2 des Arzneimittelgesetzes an die zuständige Bundesoberbehörde.</w:t>
      </w:r>
    </w:p>
    <w:p>
      <w:r>
        <w:rPr>
          <w:color w:val="555555"/>
          <w:sz w:val="17"/>
        </w:rPr>
        <w:t xml:space="preserve">Zitiervorschlag: § 10 KPBV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